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B88" w:rsidRDefault="004D6FF0">
      <w:pPr>
        <w:spacing w:line="480" w:lineRule="exact"/>
        <w:ind w:rightChars="-62" w:right="-149"/>
        <w:jc w:val="center"/>
        <w:rPr>
          <w:rFonts w:ascii="黑体" w:eastAsia="黑体" w:hAnsi="宋体"/>
          <w:b/>
          <w:color w:val="000000"/>
          <w:sz w:val="36"/>
          <w:szCs w:val="36"/>
        </w:rPr>
      </w:pPr>
      <w:r>
        <w:rPr>
          <w:rFonts w:ascii="黑体" w:eastAsia="黑体" w:hAnsi="宋体"/>
          <w:b/>
          <w:color w:val="000000"/>
          <w:sz w:val="36"/>
          <w:szCs w:val="36"/>
        </w:rPr>
        <w:t>20</w:t>
      </w:r>
      <w:r>
        <w:rPr>
          <w:rFonts w:ascii="黑体" w:eastAsia="黑体" w:hAnsi="宋体" w:hint="eastAsia"/>
          <w:b/>
          <w:color w:val="000000"/>
          <w:sz w:val="36"/>
          <w:szCs w:val="36"/>
        </w:rPr>
        <w:t>21年江苏省预拌混凝土行业发展蓝皮书</w:t>
      </w:r>
    </w:p>
    <w:p w:rsidR="00676B88" w:rsidRDefault="00676B88" w:rsidP="00070F61">
      <w:pPr>
        <w:spacing w:line="480" w:lineRule="exact"/>
        <w:ind w:rightChars="-62" w:right="-149"/>
        <w:jc w:val="both"/>
        <w:rPr>
          <w:rFonts w:ascii="仿宋_GB2312" w:eastAsia="仿宋_GB2312" w:hAnsi="宋体"/>
          <w:b/>
          <w:color w:val="000000"/>
          <w:sz w:val="21"/>
          <w:szCs w:val="21"/>
        </w:rPr>
      </w:pPr>
    </w:p>
    <w:p w:rsidR="00676B88" w:rsidRDefault="004D6FF0" w:rsidP="00AB53FF">
      <w:pPr>
        <w:spacing w:line="560" w:lineRule="exact"/>
        <w:ind w:rightChars="-62" w:right="-149" w:firstLineChars="200" w:firstLine="560"/>
        <w:jc w:val="both"/>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2021年，在各市、县主管部门、“散办”和行业协会的积极参与及引导下，在2020年全面实现复工复产的基础上，2021年开年延续了上年的运行态势，大部分地区预拌混凝土保持增长，基本满足了各类建设工程混凝土材料的供应，全省建筑系统混凝土企业全年混凝土供应总量</w:t>
      </w:r>
      <w:r>
        <w:rPr>
          <w:rFonts w:asciiTheme="minorEastAsia" w:eastAsiaTheme="minorEastAsia" w:hAnsiTheme="minorEastAsia" w:hint="eastAsia"/>
          <w:color w:val="000000" w:themeColor="text1"/>
          <w:sz w:val="28"/>
          <w:szCs w:val="28"/>
        </w:rPr>
        <w:t>31436万立方米，比上年增长3.43</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，创下历史新高</w:t>
      </w:r>
      <w:r>
        <w:rPr>
          <w:rFonts w:asciiTheme="minorEastAsia" w:eastAsiaTheme="minorEastAsia" w:hAnsiTheme="minorEastAsia" w:cs="宋体" w:hint="eastAsia"/>
          <w:color w:val="000000" w:themeColor="text1"/>
          <w:sz w:val="28"/>
          <w:szCs w:val="28"/>
        </w:rPr>
        <w:t>。</w:t>
      </w:r>
    </w:p>
    <w:p w:rsidR="00676B88" w:rsidRDefault="004D6FF0" w:rsidP="00AB53FF">
      <w:pPr>
        <w:spacing w:line="560" w:lineRule="exact"/>
        <w:ind w:rightChars="-62" w:right="-149" w:firstLineChars="200" w:firstLine="560"/>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以下统计和分析数据，是根据全省各混凝土企业填报和各地级市散装水泥办公室及市、县混凝土行业协会（分会、专业委员会）统计汇总，经省建筑钢结构混凝土协会混凝土与水泥制品分会将几方数据汇总、核对、修正后得出，含盖全省建筑系统有资质的1061家预拌混凝土企业。【注：中铁、中交，部分道、桥、水、电等大型专业化总承包施工公司自带搅拌站不在此统计范围内】</w:t>
      </w:r>
    </w:p>
    <w:p w:rsidR="00676B88" w:rsidRPr="00AB53FF" w:rsidRDefault="004D6FF0" w:rsidP="00AB53FF">
      <w:pPr>
        <w:spacing w:line="560" w:lineRule="exact"/>
        <w:ind w:firstLineChars="196" w:firstLine="630"/>
        <w:jc w:val="both"/>
        <w:rPr>
          <w:rFonts w:ascii="黑体" w:eastAsia="黑体" w:hAnsi="黑体"/>
          <w:b/>
          <w:color w:val="000000"/>
          <w:sz w:val="32"/>
          <w:szCs w:val="32"/>
        </w:rPr>
      </w:pPr>
      <w:r w:rsidRPr="00AB53FF">
        <w:rPr>
          <w:rFonts w:ascii="黑体" w:eastAsia="黑体" w:hAnsi="黑体" w:hint="eastAsia"/>
          <w:b/>
          <w:color w:val="000000"/>
          <w:sz w:val="32"/>
          <w:szCs w:val="32"/>
        </w:rPr>
        <w:t>一、</w:t>
      </w:r>
      <w:r w:rsidRPr="00AB53FF">
        <w:rPr>
          <w:rFonts w:ascii="黑体" w:eastAsia="黑体" w:hAnsi="黑体"/>
          <w:b/>
          <w:color w:val="000000"/>
          <w:sz w:val="32"/>
          <w:szCs w:val="32"/>
        </w:rPr>
        <w:t>20</w:t>
      </w:r>
      <w:r w:rsidRPr="00AB53FF">
        <w:rPr>
          <w:rFonts w:ascii="黑体" w:eastAsia="黑体" w:hAnsi="黑体" w:hint="eastAsia"/>
          <w:b/>
          <w:color w:val="000000"/>
          <w:sz w:val="32"/>
          <w:szCs w:val="32"/>
        </w:rPr>
        <w:t>21年全行业主要发展数据</w:t>
      </w:r>
    </w:p>
    <w:p w:rsidR="00676B88" w:rsidRDefault="004D6FF0" w:rsidP="00AB53FF">
      <w:pPr>
        <w:spacing w:line="560" w:lineRule="exact"/>
        <w:ind w:firstLineChars="196" w:firstLine="551"/>
        <w:jc w:val="both"/>
        <w:rPr>
          <w:rFonts w:ascii="宋体" w:eastAsia="宋体" w:hAnsi="宋体"/>
          <w:color w:val="000000" w:themeColor="text1"/>
          <w:sz w:val="28"/>
          <w:szCs w:val="28"/>
        </w:rPr>
      </w:pPr>
      <w:r>
        <w:rPr>
          <w:rFonts w:ascii="宋体" w:eastAsia="宋体" w:hAnsi="宋体"/>
          <w:b/>
          <w:color w:val="000000" w:themeColor="text1"/>
          <w:sz w:val="28"/>
          <w:szCs w:val="28"/>
        </w:rPr>
        <w:t>1</w:t>
      </w:r>
      <w:r>
        <w:rPr>
          <w:rFonts w:ascii="宋体" w:eastAsia="宋体" w:hAnsi="宋体" w:hint="eastAsia"/>
          <w:b/>
          <w:color w:val="000000" w:themeColor="text1"/>
          <w:sz w:val="28"/>
          <w:szCs w:val="28"/>
        </w:rPr>
        <w:t>、建设系统有资质企业总数</w:t>
      </w:r>
      <w:r>
        <w:rPr>
          <w:rFonts w:ascii="宋体" w:eastAsia="宋体" w:hAnsi="宋体" w:hint="eastAsia"/>
          <w:color w:val="000000" w:themeColor="text1"/>
          <w:sz w:val="28"/>
          <w:szCs w:val="28"/>
        </w:rPr>
        <w:t>：1061家，比上年增加53家。</w:t>
      </w:r>
    </w:p>
    <w:p w:rsidR="00676B88" w:rsidRDefault="004D6FF0" w:rsidP="00AB53FF">
      <w:pPr>
        <w:spacing w:line="560" w:lineRule="exact"/>
        <w:ind w:firstLineChars="196" w:firstLine="551"/>
        <w:jc w:val="both"/>
        <w:rPr>
          <w:rFonts w:ascii="宋体" w:eastAsia="宋体" w:hAnsi="宋体"/>
          <w:color w:val="000000" w:themeColor="text1"/>
          <w:sz w:val="28"/>
          <w:szCs w:val="28"/>
        </w:rPr>
      </w:pPr>
      <w:r>
        <w:rPr>
          <w:rFonts w:ascii="宋体" w:eastAsia="宋体" w:hAnsi="宋体"/>
          <w:b/>
          <w:color w:val="000000" w:themeColor="text1"/>
          <w:sz w:val="28"/>
          <w:szCs w:val="28"/>
        </w:rPr>
        <w:t>2</w:t>
      </w:r>
      <w:r>
        <w:rPr>
          <w:rFonts w:ascii="宋体" w:eastAsia="宋体" w:hAnsi="宋体" w:hint="eastAsia"/>
          <w:b/>
          <w:color w:val="000000" w:themeColor="text1"/>
          <w:sz w:val="28"/>
          <w:szCs w:val="28"/>
        </w:rPr>
        <w:t>、搅拌机年设计生产能力：</w:t>
      </w:r>
      <w:r>
        <w:rPr>
          <w:rFonts w:ascii="宋体" w:eastAsia="宋体" w:hAnsi="宋体" w:hint="eastAsia"/>
          <w:color w:val="000000" w:themeColor="text1"/>
          <w:sz w:val="28"/>
          <w:szCs w:val="28"/>
        </w:rPr>
        <w:t>90225万立方米。比上年增加4.55%。</w:t>
      </w:r>
    </w:p>
    <w:p w:rsidR="00676B88" w:rsidRDefault="004D6FF0" w:rsidP="00CF22C0">
      <w:pPr>
        <w:spacing w:line="560" w:lineRule="exact"/>
        <w:ind w:firstLineChars="196" w:firstLine="551"/>
        <w:jc w:val="both"/>
        <w:rPr>
          <w:rFonts w:ascii="宋体" w:eastAsia="宋体" w:hAnsi="宋体"/>
          <w:color w:val="000000" w:themeColor="text1"/>
          <w:sz w:val="28"/>
          <w:szCs w:val="28"/>
        </w:rPr>
      </w:pPr>
      <w:r>
        <w:rPr>
          <w:rFonts w:ascii="宋体" w:eastAsia="宋体" w:hAnsi="宋体"/>
          <w:b/>
          <w:color w:val="000000" w:themeColor="text1"/>
          <w:sz w:val="28"/>
          <w:szCs w:val="28"/>
        </w:rPr>
        <w:t>3</w:t>
      </w:r>
      <w:r>
        <w:rPr>
          <w:rFonts w:ascii="宋体" w:eastAsia="宋体" w:hAnsi="宋体" w:hint="eastAsia"/>
          <w:b/>
          <w:color w:val="000000" w:themeColor="text1"/>
          <w:sz w:val="28"/>
          <w:szCs w:val="28"/>
        </w:rPr>
        <w:t>、混凝土供应总量：</w:t>
      </w:r>
      <w:r>
        <w:rPr>
          <w:rFonts w:ascii="宋体" w:eastAsia="宋体" w:hAnsi="宋体" w:hint="eastAsia"/>
          <w:color w:val="000000" w:themeColor="text1"/>
          <w:sz w:val="28"/>
          <w:szCs w:val="28"/>
        </w:rPr>
        <w:t>31436万立方米，比上年增长3.43</w:t>
      </w:r>
      <w:r>
        <w:rPr>
          <w:rFonts w:ascii="宋体" w:eastAsia="宋体" w:hAnsi="宋体"/>
          <w:color w:val="000000" w:themeColor="text1"/>
          <w:sz w:val="28"/>
          <w:szCs w:val="28"/>
        </w:rPr>
        <w:t>%</w:t>
      </w:r>
      <w:r>
        <w:rPr>
          <w:rFonts w:ascii="宋体" w:eastAsia="宋体" w:hAnsi="宋体" w:hint="eastAsia"/>
          <w:color w:val="000000" w:themeColor="text1"/>
          <w:sz w:val="28"/>
          <w:szCs w:val="28"/>
        </w:rPr>
        <w:t>。</w:t>
      </w:r>
    </w:p>
    <w:p w:rsidR="00676B88" w:rsidRDefault="004D6FF0" w:rsidP="00AB53FF">
      <w:pPr>
        <w:spacing w:line="560" w:lineRule="exact"/>
        <w:ind w:firstLineChars="196" w:firstLine="551"/>
        <w:jc w:val="both"/>
        <w:rPr>
          <w:rFonts w:ascii="宋体" w:eastAsia="宋体" w:hAnsi="宋体"/>
          <w:b/>
          <w:color w:val="000000" w:themeColor="text1"/>
          <w:sz w:val="28"/>
          <w:szCs w:val="28"/>
        </w:rPr>
      </w:pPr>
      <w:r>
        <w:rPr>
          <w:rFonts w:ascii="宋体" w:eastAsia="宋体" w:hAnsi="宋体"/>
          <w:b/>
          <w:color w:val="000000" w:themeColor="text1"/>
          <w:sz w:val="28"/>
          <w:szCs w:val="28"/>
        </w:rPr>
        <w:t>4</w:t>
      </w:r>
      <w:r>
        <w:rPr>
          <w:rFonts w:ascii="宋体" w:eastAsia="宋体" w:hAnsi="宋体" w:hint="eastAsia"/>
          <w:b/>
          <w:color w:val="000000" w:themeColor="text1"/>
          <w:sz w:val="28"/>
          <w:szCs w:val="28"/>
        </w:rPr>
        <w:t>、总产值：</w:t>
      </w:r>
      <w:r>
        <w:rPr>
          <w:rFonts w:ascii="宋体" w:eastAsia="宋体" w:hAnsi="宋体" w:hint="eastAsia"/>
          <w:color w:val="000000" w:themeColor="text1"/>
          <w:sz w:val="28"/>
          <w:szCs w:val="28"/>
        </w:rPr>
        <w:t>由于砂石原材料价格居高不下，水泥价格高位震荡，混凝土均价也小幅提高，全省全行业各种强度等级混凝土平均后，均价为498.01元/立方米，比上年增加0.64个百分点。全行业</w:t>
      </w:r>
      <w:r>
        <w:rPr>
          <w:rFonts w:ascii="宋体" w:eastAsia="宋体" w:hAnsi="宋体"/>
          <w:color w:val="000000" w:themeColor="text1"/>
          <w:sz w:val="28"/>
          <w:szCs w:val="28"/>
        </w:rPr>
        <w:t>全年累计实现销售产值</w:t>
      </w:r>
      <w:r>
        <w:rPr>
          <w:rFonts w:ascii="宋体" w:eastAsia="宋体" w:hAnsi="宋体" w:hint="eastAsia"/>
          <w:color w:val="000000" w:themeColor="text1"/>
          <w:sz w:val="28"/>
          <w:szCs w:val="28"/>
        </w:rPr>
        <w:t>1565.56亿元，</w:t>
      </w:r>
      <w:r>
        <w:rPr>
          <w:rFonts w:ascii="宋体" w:eastAsia="宋体" w:hAnsi="宋体"/>
          <w:color w:val="000000" w:themeColor="text1"/>
          <w:sz w:val="28"/>
          <w:szCs w:val="28"/>
        </w:rPr>
        <w:t>比上年增长</w:t>
      </w:r>
      <w:r>
        <w:rPr>
          <w:rFonts w:ascii="宋体" w:eastAsia="宋体" w:hAnsi="宋体" w:hint="eastAsia"/>
          <w:color w:val="000000" w:themeColor="text1"/>
          <w:sz w:val="28"/>
          <w:szCs w:val="28"/>
        </w:rPr>
        <w:t>3.55</w:t>
      </w:r>
      <w:r>
        <w:rPr>
          <w:rFonts w:ascii="宋体" w:eastAsia="宋体" w:hAnsi="宋体"/>
          <w:color w:val="000000" w:themeColor="text1"/>
          <w:sz w:val="28"/>
          <w:szCs w:val="28"/>
        </w:rPr>
        <w:t>%</w:t>
      </w:r>
      <w:r>
        <w:rPr>
          <w:rFonts w:ascii="宋体" w:eastAsia="宋体" w:hAnsi="宋体" w:hint="eastAsia"/>
          <w:color w:val="000000" w:themeColor="text1"/>
          <w:sz w:val="28"/>
          <w:szCs w:val="28"/>
        </w:rPr>
        <w:t>，</w:t>
      </w:r>
      <w:r>
        <w:rPr>
          <w:rFonts w:ascii="宋体" w:eastAsia="宋体" w:hAnsi="宋体"/>
          <w:color w:val="000000" w:themeColor="text1"/>
          <w:sz w:val="28"/>
          <w:szCs w:val="28"/>
        </w:rPr>
        <w:t>全年</w:t>
      </w:r>
      <w:r>
        <w:rPr>
          <w:rFonts w:ascii="宋体" w:eastAsia="宋体" w:hAnsi="宋体" w:hint="eastAsia"/>
          <w:color w:val="000000" w:themeColor="text1"/>
          <w:sz w:val="28"/>
          <w:szCs w:val="28"/>
        </w:rPr>
        <w:t>全行业实现增加值53.7</w:t>
      </w:r>
      <w:r>
        <w:rPr>
          <w:rFonts w:ascii="宋体" w:eastAsia="宋体" w:hAnsi="宋体"/>
          <w:color w:val="000000" w:themeColor="text1"/>
          <w:sz w:val="28"/>
          <w:szCs w:val="28"/>
        </w:rPr>
        <w:t>亿元</w:t>
      </w:r>
      <w:r>
        <w:rPr>
          <w:rFonts w:ascii="宋体" w:eastAsia="宋体" w:hAnsi="宋体" w:hint="eastAsia"/>
          <w:color w:val="000000" w:themeColor="text1"/>
          <w:sz w:val="28"/>
          <w:szCs w:val="28"/>
        </w:rPr>
        <w:t>。</w:t>
      </w:r>
    </w:p>
    <w:p w:rsidR="00676B88" w:rsidRDefault="004D6FF0" w:rsidP="00AB53FF">
      <w:pPr>
        <w:spacing w:line="560" w:lineRule="exact"/>
        <w:ind w:firstLineChars="200" w:firstLine="562"/>
        <w:jc w:val="both"/>
        <w:rPr>
          <w:rFonts w:ascii="宋体" w:eastAsia="宋体" w:hAnsi="宋体"/>
          <w:b/>
          <w:color w:val="000000" w:themeColor="text1"/>
          <w:sz w:val="28"/>
          <w:szCs w:val="28"/>
        </w:rPr>
      </w:pPr>
      <w:r>
        <w:rPr>
          <w:rFonts w:ascii="宋体" w:eastAsia="宋体" w:hAnsi="宋体"/>
          <w:b/>
          <w:color w:val="000000" w:themeColor="text1"/>
          <w:sz w:val="28"/>
          <w:szCs w:val="28"/>
        </w:rPr>
        <w:t>5</w:t>
      </w:r>
      <w:r>
        <w:rPr>
          <w:rFonts w:ascii="宋体" w:eastAsia="宋体" w:hAnsi="宋体" w:hint="eastAsia"/>
          <w:b/>
          <w:color w:val="000000" w:themeColor="text1"/>
          <w:sz w:val="28"/>
          <w:szCs w:val="28"/>
        </w:rPr>
        <w:t>、交税：</w:t>
      </w:r>
      <w:r>
        <w:rPr>
          <w:rFonts w:ascii="宋体" w:eastAsia="宋体" w:hAnsi="宋体" w:hint="eastAsia"/>
          <w:bCs/>
          <w:color w:val="000000" w:themeColor="text1"/>
          <w:sz w:val="28"/>
          <w:szCs w:val="28"/>
        </w:rPr>
        <w:t>全行业</w:t>
      </w:r>
      <w:r>
        <w:rPr>
          <w:rFonts w:ascii="宋体" w:eastAsia="宋体" w:hAnsi="宋体" w:hint="eastAsia"/>
          <w:color w:val="000000" w:themeColor="text1"/>
          <w:sz w:val="28"/>
          <w:szCs w:val="28"/>
        </w:rPr>
        <w:t>平均税率为3</w:t>
      </w:r>
      <w:r>
        <w:rPr>
          <w:rFonts w:ascii="宋体" w:eastAsia="宋体" w:hAnsi="宋体"/>
          <w:color w:val="000000" w:themeColor="text1"/>
          <w:sz w:val="28"/>
          <w:szCs w:val="28"/>
        </w:rPr>
        <w:t>.</w:t>
      </w:r>
      <w:r>
        <w:rPr>
          <w:rFonts w:ascii="宋体" w:eastAsia="宋体" w:hAnsi="宋体" w:hint="eastAsia"/>
          <w:color w:val="000000" w:themeColor="text1"/>
          <w:sz w:val="28"/>
          <w:szCs w:val="28"/>
        </w:rPr>
        <w:t>59</w:t>
      </w:r>
      <w:r>
        <w:rPr>
          <w:rFonts w:ascii="宋体" w:eastAsia="宋体" w:hAnsi="宋体"/>
          <w:color w:val="000000" w:themeColor="text1"/>
          <w:sz w:val="28"/>
          <w:szCs w:val="28"/>
        </w:rPr>
        <w:t>%</w:t>
      </w:r>
      <w:r>
        <w:rPr>
          <w:rFonts w:ascii="宋体" w:eastAsia="宋体" w:hAnsi="宋体" w:hint="eastAsia"/>
          <w:color w:val="000000" w:themeColor="text1"/>
          <w:sz w:val="28"/>
          <w:szCs w:val="28"/>
        </w:rPr>
        <w:t>，比上年下降</w:t>
      </w:r>
      <w:r w:rsidRPr="00070F61">
        <w:rPr>
          <w:rFonts w:ascii="宋体" w:eastAsia="宋体" w:hAnsi="宋体" w:hint="eastAsia"/>
          <w:color w:val="000000" w:themeColor="text1"/>
          <w:sz w:val="28"/>
          <w:szCs w:val="28"/>
        </w:rPr>
        <w:t>0.2</w:t>
      </w:r>
      <w:r>
        <w:rPr>
          <w:rFonts w:ascii="宋体" w:eastAsia="宋体" w:hAnsi="宋体" w:hint="eastAsia"/>
          <w:color w:val="000000" w:themeColor="text1"/>
          <w:sz w:val="28"/>
          <w:szCs w:val="28"/>
        </w:rPr>
        <w:t>个百分点。全行业交税：</w:t>
      </w:r>
      <w:r>
        <w:rPr>
          <w:rFonts w:ascii="宋体" w:eastAsia="宋体" w:hAnsi="宋体" w:hint="eastAsia"/>
          <w:b/>
          <w:color w:val="000000" w:themeColor="text1"/>
          <w:sz w:val="28"/>
          <w:szCs w:val="28"/>
        </w:rPr>
        <w:t>56.2</w:t>
      </w:r>
      <w:r>
        <w:rPr>
          <w:rFonts w:ascii="宋体" w:eastAsia="宋体" w:hAnsi="宋体" w:hint="eastAsia"/>
          <w:color w:val="000000" w:themeColor="text1"/>
          <w:sz w:val="28"/>
          <w:szCs w:val="28"/>
        </w:rPr>
        <w:t>亿元，比上年增加1.6亿元。</w:t>
      </w:r>
    </w:p>
    <w:p w:rsidR="00676B88" w:rsidRDefault="004D6FF0" w:rsidP="00AB53FF">
      <w:pPr>
        <w:spacing w:line="560" w:lineRule="exact"/>
        <w:ind w:firstLineChars="200" w:firstLine="562"/>
        <w:jc w:val="both"/>
        <w:rPr>
          <w:rFonts w:ascii="宋体" w:eastAsia="宋体" w:hAnsi="宋体"/>
          <w:color w:val="000000" w:themeColor="text1"/>
          <w:sz w:val="28"/>
          <w:szCs w:val="28"/>
        </w:rPr>
      </w:pPr>
      <w:r>
        <w:rPr>
          <w:rFonts w:ascii="宋体" w:eastAsia="宋体" w:hAnsi="宋体"/>
          <w:b/>
          <w:color w:val="000000" w:themeColor="text1"/>
          <w:sz w:val="28"/>
          <w:szCs w:val="28"/>
        </w:rPr>
        <w:lastRenderedPageBreak/>
        <w:t>6</w:t>
      </w:r>
      <w:r>
        <w:rPr>
          <w:rFonts w:ascii="宋体" w:eastAsia="宋体" w:hAnsi="宋体" w:hint="eastAsia"/>
          <w:b/>
          <w:color w:val="000000" w:themeColor="text1"/>
          <w:sz w:val="28"/>
          <w:szCs w:val="28"/>
        </w:rPr>
        <w:t>、利润：</w:t>
      </w:r>
      <w:r>
        <w:rPr>
          <w:rFonts w:ascii="宋体" w:eastAsia="宋体" w:hAnsi="宋体" w:hint="eastAsia"/>
          <w:color w:val="000000" w:themeColor="text1"/>
          <w:sz w:val="28"/>
          <w:szCs w:val="28"/>
        </w:rPr>
        <w:t>全行业平均利润率为4.28</w:t>
      </w:r>
      <w:r>
        <w:rPr>
          <w:rFonts w:ascii="宋体" w:eastAsia="宋体" w:hAnsi="宋体"/>
          <w:color w:val="000000" w:themeColor="text1"/>
          <w:sz w:val="28"/>
          <w:szCs w:val="28"/>
        </w:rPr>
        <w:t>%</w:t>
      </w:r>
      <w:r>
        <w:rPr>
          <w:rFonts w:ascii="宋体" w:eastAsia="宋体" w:hAnsi="宋体" w:hint="eastAsia"/>
          <w:color w:val="000000" w:themeColor="text1"/>
          <w:sz w:val="28"/>
          <w:szCs w:val="28"/>
        </w:rPr>
        <w:t>。比上年下降0.3个百分点，全年</w:t>
      </w:r>
      <w:r>
        <w:rPr>
          <w:rFonts w:ascii="宋体" w:eastAsia="宋体" w:hAnsi="宋体" w:hint="eastAsia"/>
          <w:bCs/>
          <w:color w:val="000000" w:themeColor="text1"/>
          <w:sz w:val="28"/>
          <w:szCs w:val="28"/>
        </w:rPr>
        <w:t>实现利润</w:t>
      </w:r>
      <w:r>
        <w:rPr>
          <w:rFonts w:ascii="宋体" w:eastAsia="宋体" w:hAnsi="宋体" w:hint="eastAsia"/>
          <w:b/>
          <w:color w:val="000000" w:themeColor="text1"/>
          <w:sz w:val="28"/>
          <w:szCs w:val="28"/>
        </w:rPr>
        <w:t>67</w:t>
      </w:r>
      <w:r>
        <w:rPr>
          <w:rFonts w:ascii="宋体" w:eastAsia="宋体" w:hAnsi="宋体" w:hint="eastAsia"/>
          <w:bCs/>
          <w:color w:val="000000" w:themeColor="text1"/>
          <w:sz w:val="28"/>
          <w:szCs w:val="28"/>
        </w:rPr>
        <w:t>亿元 ，</w:t>
      </w:r>
      <w:r>
        <w:rPr>
          <w:rFonts w:ascii="宋体" w:eastAsia="宋体" w:hAnsi="宋体" w:hint="eastAsia"/>
          <w:color w:val="000000" w:themeColor="text1"/>
          <w:sz w:val="28"/>
          <w:szCs w:val="28"/>
        </w:rPr>
        <w:t>比上年下降8.2%。</w:t>
      </w:r>
    </w:p>
    <w:p w:rsidR="00676B88" w:rsidRDefault="004D6FF0" w:rsidP="00AB53FF">
      <w:pPr>
        <w:spacing w:line="560" w:lineRule="exact"/>
        <w:ind w:firstLineChars="200" w:firstLine="562"/>
        <w:jc w:val="both"/>
        <w:rPr>
          <w:rFonts w:ascii="宋体" w:eastAsia="宋体" w:hAnsi="宋体"/>
          <w:bCs/>
          <w:color w:val="000000" w:themeColor="text1"/>
          <w:sz w:val="28"/>
          <w:szCs w:val="28"/>
        </w:rPr>
      </w:pPr>
      <w:r>
        <w:rPr>
          <w:rFonts w:ascii="宋体" w:eastAsia="宋体" w:hAnsi="宋体" w:hint="eastAsia"/>
          <w:b/>
          <w:bCs/>
          <w:color w:val="000000" w:themeColor="text1"/>
          <w:sz w:val="28"/>
          <w:szCs w:val="28"/>
        </w:rPr>
        <w:t>7、</w:t>
      </w:r>
      <w:r>
        <w:rPr>
          <w:rFonts w:ascii="宋体" w:eastAsia="宋体" w:hAnsi="宋体" w:hint="eastAsia"/>
          <w:b/>
          <w:color w:val="000000" w:themeColor="text1"/>
          <w:sz w:val="28"/>
          <w:szCs w:val="28"/>
        </w:rPr>
        <w:t>全行业应收账款、应付款：</w:t>
      </w:r>
      <w:r>
        <w:rPr>
          <w:rFonts w:ascii="宋体" w:eastAsia="宋体" w:hAnsi="宋体" w:hint="eastAsia"/>
          <w:bCs/>
          <w:color w:val="000000" w:themeColor="text1"/>
          <w:sz w:val="28"/>
          <w:szCs w:val="28"/>
        </w:rPr>
        <w:t>据不完全统计，全行业至2021年底，历年累计应收账款超过350亿元，应付款超过245亿元。</w:t>
      </w:r>
    </w:p>
    <w:p w:rsidR="00676B88" w:rsidRDefault="004D6FF0" w:rsidP="00AB53FF">
      <w:pPr>
        <w:spacing w:line="560" w:lineRule="exact"/>
        <w:ind w:firstLineChars="200" w:firstLine="562"/>
        <w:jc w:val="both"/>
        <w:rPr>
          <w:rFonts w:ascii="宋体" w:eastAsia="宋体" w:hAnsi="宋体"/>
          <w:b/>
          <w:color w:val="000000" w:themeColor="text1"/>
          <w:sz w:val="28"/>
          <w:szCs w:val="28"/>
        </w:rPr>
      </w:pPr>
      <w:r>
        <w:rPr>
          <w:rFonts w:ascii="宋体" w:eastAsia="宋体" w:hAnsi="宋体" w:hint="eastAsia"/>
          <w:b/>
          <w:color w:val="000000" w:themeColor="text1"/>
          <w:sz w:val="28"/>
          <w:szCs w:val="28"/>
        </w:rPr>
        <w:t>8、全行业从业人数</w:t>
      </w:r>
      <w:r>
        <w:rPr>
          <w:rFonts w:ascii="宋体" w:eastAsia="宋体" w:hAnsi="宋体" w:hint="eastAsia"/>
          <w:color w:val="000000" w:themeColor="text1"/>
          <w:sz w:val="28"/>
          <w:szCs w:val="28"/>
        </w:rPr>
        <w:t>：约54300人。（混凝土运输外包给专业化公司或个体户等，不在统计范围。）全行业企业管理人员平均占比为20.3%，比上年减少11.16%。</w:t>
      </w:r>
    </w:p>
    <w:p w:rsidR="00676B88" w:rsidRDefault="004D6FF0" w:rsidP="00AB53FF">
      <w:pPr>
        <w:spacing w:line="560" w:lineRule="exact"/>
        <w:ind w:firstLineChars="200" w:firstLine="562"/>
        <w:jc w:val="both"/>
        <w:rPr>
          <w:rFonts w:ascii="宋体" w:eastAsia="宋体" w:hAnsi="宋体"/>
          <w:color w:val="000000" w:themeColor="text1"/>
          <w:sz w:val="28"/>
          <w:szCs w:val="28"/>
        </w:rPr>
      </w:pPr>
      <w:r>
        <w:rPr>
          <w:rFonts w:ascii="宋体" w:eastAsia="宋体" w:hAnsi="宋体" w:hint="eastAsia"/>
          <w:b/>
          <w:color w:val="000000" w:themeColor="text1"/>
          <w:sz w:val="28"/>
          <w:szCs w:val="28"/>
        </w:rPr>
        <w:t>9、全行业年人均工资</w:t>
      </w:r>
      <w:r>
        <w:rPr>
          <w:rFonts w:ascii="宋体" w:eastAsia="宋体" w:hAnsi="宋体" w:hint="eastAsia"/>
          <w:color w:val="000000" w:themeColor="text1"/>
          <w:sz w:val="28"/>
          <w:szCs w:val="28"/>
        </w:rPr>
        <w:t>：81360元 ，比上年提高1.78%。</w:t>
      </w:r>
    </w:p>
    <w:p w:rsidR="00676B88" w:rsidRDefault="004D6FF0" w:rsidP="00AB53FF">
      <w:pPr>
        <w:spacing w:line="560" w:lineRule="exact"/>
        <w:ind w:firstLineChars="200" w:firstLine="562"/>
        <w:jc w:val="both"/>
        <w:rPr>
          <w:rFonts w:ascii="宋体" w:eastAsia="宋体" w:hAnsi="宋体"/>
          <w:b/>
          <w:color w:val="000000" w:themeColor="text1"/>
          <w:sz w:val="28"/>
          <w:szCs w:val="28"/>
        </w:rPr>
      </w:pPr>
      <w:r>
        <w:rPr>
          <w:rFonts w:ascii="宋体" w:eastAsia="宋体" w:hAnsi="宋体" w:hint="eastAsia"/>
          <w:b/>
          <w:bCs/>
          <w:color w:val="000000" w:themeColor="text1"/>
          <w:sz w:val="28"/>
          <w:szCs w:val="28"/>
        </w:rPr>
        <w:t>10、</w:t>
      </w:r>
      <w:r>
        <w:rPr>
          <w:rFonts w:ascii="宋体" w:eastAsia="宋体" w:hAnsi="宋体"/>
          <w:b/>
          <w:bCs/>
          <w:color w:val="000000" w:themeColor="text1"/>
          <w:sz w:val="28"/>
          <w:szCs w:val="28"/>
        </w:rPr>
        <w:t>混凝土强度等级分布</w:t>
      </w:r>
      <w:r>
        <w:rPr>
          <w:rFonts w:ascii="宋体" w:eastAsia="宋体" w:hAnsi="宋体" w:hint="eastAsia"/>
          <w:b/>
          <w:bCs/>
          <w:color w:val="000000" w:themeColor="text1"/>
          <w:sz w:val="28"/>
          <w:szCs w:val="28"/>
        </w:rPr>
        <w:t>：</w:t>
      </w:r>
      <w:r>
        <w:rPr>
          <w:rFonts w:ascii="宋体" w:eastAsia="宋体" w:hAnsi="宋体"/>
          <w:color w:val="000000" w:themeColor="text1"/>
          <w:sz w:val="28"/>
          <w:szCs w:val="28"/>
        </w:rPr>
        <w:t>20</w:t>
      </w:r>
      <w:r>
        <w:rPr>
          <w:rFonts w:ascii="宋体" w:eastAsia="宋体" w:hAnsi="宋体" w:hint="eastAsia"/>
          <w:color w:val="000000" w:themeColor="text1"/>
          <w:sz w:val="28"/>
          <w:szCs w:val="28"/>
        </w:rPr>
        <w:t>21</w:t>
      </w:r>
      <w:r>
        <w:rPr>
          <w:rFonts w:ascii="宋体" w:eastAsia="宋体" w:hAnsi="宋体"/>
          <w:color w:val="000000" w:themeColor="text1"/>
          <w:sz w:val="28"/>
          <w:szCs w:val="28"/>
        </w:rPr>
        <w:t>年，</w:t>
      </w:r>
      <w:r>
        <w:rPr>
          <w:rFonts w:ascii="宋体" w:eastAsia="宋体" w:hAnsi="宋体" w:hint="eastAsia"/>
          <w:color w:val="000000" w:themeColor="text1"/>
          <w:sz w:val="28"/>
          <w:szCs w:val="28"/>
        </w:rPr>
        <w:t>在建设工程中使用的</w:t>
      </w:r>
      <w:r>
        <w:rPr>
          <w:rFonts w:ascii="宋体" w:eastAsia="宋体" w:hAnsi="宋体"/>
          <w:color w:val="000000" w:themeColor="text1"/>
          <w:sz w:val="28"/>
          <w:szCs w:val="28"/>
        </w:rPr>
        <w:t>混凝土强度等级分布</w:t>
      </w:r>
      <w:r>
        <w:rPr>
          <w:rFonts w:ascii="宋体" w:eastAsia="宋体" w:hAnsi="宋体" w:hint="eastAsia"/>
          <w:color w:val="000000" w:themeColor="text1"/>
          <w:sz w:val="28"/>
          <w:szCs w:val="28"/>
        </w:rPr>
        <w:t>为</w:t>
      </w:r>
      <w:r>
        <w:rPr>
          <w:rFonts w:ascii="宋体" w:eastAsia="宋体" w:hAnsi="宋体"/>
          <w:color w:val="000000" w:themeColor="text1"/>
          <w:sz w:val="28"/>
          <w:szCs w:val="28"/>
        </w:rPr>
        <w:t>：C10—C</w:t>
      </w:r>
      <w:r>
        <w:rPr>
          <w:rFonts w:ascii="宋体" w:eastAsia="宋体" w:hAnsi="宋体" w:hint="eastAsia"/>
          <w:color w:val="000000" w:themeColor="text1"/>
          <w:sz w:val="28"/>
          <w:szCs w:val="28"/>
        </w:rPr>
        <w:t>25</w:t>
      </w:r>
      <w:r>
        <w:rPr>
          <w:rFonts w:ascii="宋体" w:eastAsia="宋体" w:hAnsi="宋体"/>
          <w:color w:val="000000" w:themeColor="text1"/>
          <w:sz w:val="28"/>
          <w:szCs w:val="28"/>
        </w:rPr>
        <w:t>强度等级用量</w:t>
      </w:r>
      <w:r>
        <w:rPr>
          <w:rFonts w:ascii="宋体" w:eastAsia="宋体" w:hAnsi="宋体" w:hint="eastAsia"/>
          <w:color w:val="000000" w:themeColor="text1"/>
          <w:sz w:val="28"/>
          <w:szCs w:val="28"/>
        </w:rPr>
        <w:t>占总量的18.25</w:t>
      </w:r>
      <w:r>
        <w:rPr>
          <w:rFonts w:ascii="宋体" w:eastAsia="宋体" w:hAnsi="宋体"/>
          <w:color w:val="000000" w:themeColor="text1"/>
          <w:sz w:val="28"/>
          <w:szCs w:val="28"/>
        </w:rPr>
        <w:t>%，C30混凝土占</w:t>
      </w:r>
      <w:r>
        <w:rPr>
          <w:rFonts w:ascii="宋体" w:eastAsia="宋体" w:hAnsi="宋体" w:hint="eastAsia"/>
          <w:color w:val="000000" w:themeColor="text1"/>
          <w:sz w:val="28"/>
          <w:szCs w:val="28"/>
        </w:rPr>
        <w:t>36.32</w:t>
      </w:r>
      <w:r>
        <w:rPr>
          <w:rFonts w:ascii="宋体" w:eastAsia="宋体" w:hAnsi="宋体"/>
          <w:color w:val="000000" w:themeColor="text1"/>
          <w:sz w:val="28"/>
          <w:szCs w:val="28"/>
        </w:rPr>
        <w:t>% ；</w:t>
      </w:r>
      <w:r>
        <w:rPr>
          <w:rFonts w:ascii="宋体" w:eastAsia="宋体" w:hAnsi="宋体" w:hint="eastAsia"/>
          <w:color w:val="000000" w:themeColor="text1"/>
          <w:sz w:val="28"/>
          <w:szCs w:val="28"/>
        </w:rPr>
        <w:t>用量最大的</w:t>
      </w:r>
      <w:r>
        <w:rPr>
          <w:rFonts w:ascii="宋体" w:eastAsia="宋体" w:hAnsi="宋体"/>
          <w:color w:val="000000" w:themeColor="text1"/>
          <w:sz w:val="28"/>
          <w:szCs w:val="28"/>
        </w:rPr>
        <w:t>C35及以上级</w:t>
      </w:r>
      <w:r>
        <w:rPr>
          <w:rFonts w:ascii="宋体" w:eastAsia="宋体" w:hAnsi="宋体" w:hint="eastAsia"/>
          <w:color w:val="000000" w:themeColor="text1"/>
          <w:sz w:val="28"/>
          <w:szCs w:val="28"/>
        </w:rPr>
        <w:t>别</w:t>
      </w:r>
      <w:r>
        <w:rPr>
          <w:rFonts w:ascii="宋体" w:eastAsia="宋体" w:hAnsi="宋体"/>
          <w:color w:val="000000" w:themeColor="text1"/>
          <w:sz w:val="28"/>
          <w:szCs w:val="28"/>
        </w:rPr>
        <w:t>混凝土用量占</w:t>
      </w:r>
      <w:r>
        <w:rPr>
          <w:rFonts w:ascii="宋体" w:eastAsia="宋体" w:hAnsi="宋体" w:hint="eastAsia"/>
          <w:color w:val="000000" w:themeColor="text1"/>
          <w:sz w:val="28"/>
          <w:szCs w:val="28"/>
        </w:rPr>
        <w:t>45.43</w:t>
      </w:r>
      <w:r>
        <w:rPr>
          <w:rFonts w:ascii="宋体" w:eastAsia="宋体" w:hAnsi="宋体"/>
          <w:color w:val="000000" w:themeColor="text1"/>
          <w:sz w:val="28"/>
          <w:szCs w:val="28"/>
        </w:rPr>
        <w:t>%</w:t>
      </w:r>
      <w:r>
        <w:rPr>
          <w:rFonts w:ascii="宋体" w:eastAsia="宋体" w:hAnsi="宋体" w:hint="eastAsia"/>
          <w:color w:val="000000" w:themeColor="text1"/>
          <w:sz w:val="28"/>
          <w:szCs w:val="28"/>
        </w:rPr>
        <w:t>；最高强度等级为C80。</w:t>
      </w:r>
    </w:p>
    <w:p w:rsidR="00676B88" w:rsidRDefault="004D6FF0" w:rsidP="00AB53FF">
      <w:pPr>
        <w:spacing w:line="560" w:lineRule="exact"/>
        <w:ind w:firstLineChars="200" w:firstLine="562"/>
        <w:jc w:val="both"/>
        <w:rPr>
          <w:rFonts w:ascii="宋体" w:eastAsia="宋体" w:hAnsi="宋体"/>
          <w:b/>
          <w:color w:val="000000" w:themeColor="text1"/>
          <w:sz w:val="28"/>
          <w:szCs w:val="28"/>
        </w:rPr>
      </w:pPr>
      <w:r>
        <w:rPr>
          <w:rFonts w:ascii="宋体" w:eastAsia="宋体" w:hAnsi="宋体" w:hint="eastAsia"/>
          <w:b/>
          <w:color w:val="000000" w:themeColor="text1"/>
          <w:sz w:val="28"/>
          <w:szCs w:val="28"/>
        </w:rPr>
        <w:t>11、水泥用量</w:t>
      </w:r>
      <w:r>
        <w:rPr>
          <w:rFonts w:ascii="宋体" w:eastAsia="宋体" w:hAnsi="宋体" w:hint="eastAsia"/>
          <w:color w:val="000000" w:themeColor="text1"/>
          <w:sz w:val="28"/>
          <w:szCs w:val="28"/>
        </w:rPr>
        <w:t>：各种强度等级混凝土平均后，每立方米混凝土平均用水泥305公斤；全年预拌混凝土用水泥总量9588 万吨，比上年增加1443万吨。</w:t>
      </w:r>
    </w:p>
    <w:p w:rsidR="00676B88" w:rsidRDefault="004D6FF0" w:rsidP="00AB53FF">
      <w:pPr>
        <w:spacing w:line="560" w:lineRule="exact"/>
        <w:ind w:firstLineChars="200" w:firstLine="562"/>
        <w:jc w:val="both"/>
        <w:rPr>
          <w:rFonts w:ascii="宋体" w:eastAsia="宋体" w:hAnsi="宋体"/>
          <w:b/>
          <w:color w:val="000000" w:themeColor="text1"/>
          <w:sz w:val="28"/>
          <w:szCs w:val="28"/>
        </w:rPr>
      </w:pPr>
      <w:r>
        <w:rPr>
          <w:rFonts w:ascii="宋体" w:eastAsia="宋体" w:hAnsi="宋体" w:hint="eastAsia"/>
          <w:b/>
          <w:color w:val="000000" w:themeColor="text1"/>
          <w:sz w:val="28"/>
          <w:szCs w:val="28"/>
        </w:rPr>
        <w:t>12、砂用量</w:t>
      </w:r>
      <w:r>
        <w:rPr>
          <w:rFonts w:ascii="宋体" w:eastAsia="宋体" w:hAnsi="宋体" w:hint="eastAsia"/>
          <w:color w:val="000000" w:themeColor="text1"/>
          <w:sz w:val="28"/>
          <w:szCs w:val="28"/>
        </w:rPr>
        <w:t>：资源砂耗用总量6598万吨（含海砂），机制砂耗用总量15397 万吨（含石屑）。</w:t>
      </w:r>
    </w:p>
    <w:p w:rsidR="00676B88" w:rsidRDefault="004D6FF0" w:rsidP="00AB53FF">
      <w:pPr>
        <w:spacing w:line="560" w:lineRule="exact"/>
        <w:ind w:rightChars="-499" w:right="-1198" w:firstLineChars="200" w:firstLine="562"/>
        <w:jc w:val="both"/>
        <w:rPr>
          <w:rFonts w:ascii="宋体" w:eastAsia="宋体" w:hAnsi="宋体"/>
          <w:color w:val="000000" w:themeColor="text1"/>
          <w:sz w:val="28"/>
          <w:szCs w:val="28"/>
        </w:rPr>
      </w:pPr>
      <w:r>
        <w:rPr>
          <w:rFonts w:ascii="宋体" w:eastAsia="宋体" w:hAnsi="宋体" w:hint="eastAsia"/>
          <w:b/>
          <w:color w:val="000000" w:themeColor="text1"/>
          <w:sz w:val="28"/>
          <w:szCs w:val="28"/>
        </w:rPr>
        <w:t>13、石子用量：</w:t>
      </w:r>
      <w:r>
        <w:rPr>
          <w:rFonts w:ascii="宋体" w:eastAsia="宋体" w:hAnsi="宋体" w:hint="eastAsia"/>
          <w:bCs/>
          <w:color w:val="000000" w:themeColor="text1"/>
          <w:sz w:val="28"/>
          <w:szCs w:val="28"/>
        </w:rPr>
        <w:t>34710 万吨。</w:t>
      </w:r>
    </w:p>
    <w:p w:rsidR="00676B88" w:rsidRDefault="004D6FF0" w:rsidP="00AB53FF">
      <w:pPr>
        <w:spacing w:line="560" w:lineRule="exact"/>
        <w:ind w:rightChars="-499" w:right="-1198" w:firstLineChars="200" w:firstLine="562"/>
        <w:jc w:val="both"/>
        <w:rPr>
          <w:rFonts w:ascii="宋体" w:eastAsia="宋体" w:hAnsi="宋体"/>
          <w:color w:val="000000" w:themeColor="text1"/>
          <w:sz w:val="28"/>
          <w:szCs w:val="28"/>
        </w:rPr>
      </w:pPr>
      <w:r>
        <w:rPr>
          <w:rFonts w:ascii="宋体" w:eastAsia="宋体" w:hAnsi="宋体" w:hint="eastAsia"/>
          <w:b/>
          <w:color w:val="000000" w:themeColor="text1"/>
          <w:sz w:val="28"/>
          <w:szCs w:val="28"/>
        </w:rPr>
        <w:t>14、粉煤灰耗用总量：</w:t>
      </w:r>
      <w:r>
        <w:rPr>
          <w:rFonts w:ascii="宋体" w:eastAsia="宋体" w:hAnsi="宋体" w:hint="eastAsia"/>
          <w:bCs/>
          <w:color w:val="000000" w:themeColor="text1"/>
          <w:sz w:val="28"/>
          <w:szCs w:val="28"/>
        </w:rPr>
        <w:t>1418万吨。</w:t>
      </w:r>
    </w:p>
    <w:p w:rsidR="00676B88" w:rsidRDefault="004D6FF0" w:rsidP="00AB53FF">
      <w:pPr>
        <w:spacing w:line="560" w:lineRule="exact"/>
        <w:ind w:rightChars="-499" w:right="-1198" w:firstLineChars="200" w:firstLine="562"/>
        <w:jc w:val="both"/>
        <w:rPr>
          <w:rFonts w:ascii="宋体" w:eastAsia="宋体" w:hAnsi="宋体"/>
          <w:color w:val="000000" w:themeColor="text1"/>
          <w:sz w:val="28"/>
          <w:szCs w:val="28"/>
        </w:rPr>
      </w:pPr>
      <w:r>
        <w:rPr>
          <w:rFonts w:ascii="宋体" w:eastAsia="宋体" w:hAnsi="宋体" w:hint="eastAsia"/>
          <w:b/>
          <w:bCs/>
          <w:color w:val="000000" w:themeColor="text1"/>
          <w:sz w:val="28"/>
          <w:szCs w:val="28"/>
        </w:rPr>
        <w:t xml:space="preserve">15、磨细矿粉用量： </w:t>
      </w:r>
      <w:r>
        <w:rPr>
          <w:rFonts w:ascii="宋体" w:eastAsia="宋体" w:hAnsi="宋体" w:hint="eastAsia"/>
          <w:color w:val="000000" w:themeColor="text1"/>
          <w:sz w:val="28"/>
          <w:szCs w:val="28"/>
        </w:rPr>
        <w:t>1357万吨</w:t>
      </w:r>
    </w:p>
    <w:p w:rsidR="00F7319D" w:rsidRDefault="004D6FF0" w:rsidP="00F7319D">
      <w:pPr>
        <w:spacing w:line="560" w:lineRule="exact"/>
        <w:ind w:rightChars="-499" w:right="-1198" w:firstLineChars="200" w:firstLine="562"/>
        <w:jc w:val="both"/>
        <w:rPr>
          <w:rFonts w:ascii="宋体" w:eastAsia="宋体" w:hAnsi="宋体"/>
          <w:color w:val="000000" w:themeColor="text1"/>
          <w:sz w:val="28"/>
          <w:szCs w:val="28"/>
        </w:rPr>
      </w:pPr>
      <w:r>
        <w:rPr>
          <w:rFonts w:ascii="宋体" w:eastAsia="宋体" w:hAnsi="宋体" w:hint="eastAsia"/>
          <w:b/>
          <w:color w:val="000000" w:themeColor="text1"/>
          <w:sz w:val="28"/>
          <w:szCs w:val="28"/>
        </w:rPr>
        <w:t>16、外加剂耗用总量：</w:t>
      </w:r>
      <w:r>
        <w:rPr>
          <w:rFonts w:ascii="宋体" w:eastAsia="宋体" w:hAnsi="宋体" w:hint="eastAsia"/>
          <w:color w:val="000000" w:themeColor="text1"/>
          <w:sz w:val="28"/>
          <w:szCs w:val="28"/>
        </w:rPr>
        <w:t xml:space="preserve"> 193万吨。</w:t>
      </w:r>
    </w:p>
    <w:p w:rsidR="00F7319D" w:rsidRDefault="004D6FF0" w:rsidP="00F7319D">
      <w:pPr>
        <w:spacing w:line="560" w:lineRule="exact"/>
        <w:ind w:rightChars="-499" w:right="-1198" w:firstLineChars="200" w:firstLine="562"/>
        <w:jc w:val="both"/>
        <w:rPr>
          <w:rFonts w:ascii="仿宋" w:eastAsia="仿宋" w:hAnsi="仿宋"/>
          <w:sz w:val="28"/>
          <w:szCs w:val="28"/>
        </w:rPr>
      </w:pPr>
      <w:r>
        <w:rPr>
          <w:rFonts w:ascii="宋体" w:eastAsia="宋体" w:hAnsi="宋体" w:hint="eastAsia"/>
          <w:b/>
          <w:bCs/>
          <w:color w:val="000000" w:themeColor="text1"/>
          <w:sz w:val="28"/>
          <w:szCs w:val="28"/>
        </w:rPr>
        <w:t>17、主要生产设备数量</w:t>
      </w:r>
      <w:r>
        <w:rPr>
          <w:rFonts w:ascii="宋体" w:eastAsia="宋体" w:hAnsi="宋体" w:hint="eastAsia"/>
          <w:color w:val="000000" w:themeColor="text1"/>
          <w:sz w:val="28"/>
          <w:szCs w:val="28"/>
        </w:rPr>
        <w:t>：</w:t>
      </w:r>
      <w:r>
        <w:rPr>
          <w:rFonts w:ascii="宋体" w:eastAsia="宋体" w:hAnsi="宋体" w:hint="eastAsia"/>
          <w:b/>
          <w:bCs/>
          <w:color w:val="000000" w:themeColor="text1"/>
          <w:sz w:val="28"/>
          <w:szCs w:val="28"/>
        </w:rPr>
        <w:t>搅拌机</w:t>
      </w:r>
      <w:r>
        <w:rPr>
          <w:rFonts w:ascii="宋体" w:eastAsia="宋体" w:hAnsi="宋体" w:hint="eastAsia"/>
          <w:color w:val="000000" w:themeColor="text1"/>
          <w:sz w:val="28"/>
          <w:szCs w:val="28"/>
        </w:rPr>
        <w:t>：</w:t>
      </w:r>
      <w:r>
        <w:rPr>
          <w:rFonts w:ascii="仿宋" w:eastAsia="仿宋" w:hAnsi="仿宋" w:hint="eastAsia"/>
          <w:sz w:val="28"/>
          <w:szCs w:val="28"/>
        </w:rPr>
        <w:t>2311套；</w:t>
      </w:r>
      <w:r>
        <w:rPr>
          <w:rFonts w:ascii="宋体" w:eastAsia="宋体" w:hAnsi="宋体" w:hint="eastAsia"/>
          <w:b/>
          <w:bCs/>
          <w:color w:val="000000" w:themeColor="text1"/>
          <w:sz w:val="28"/>
          <w:szCs w:val="28"/>
        </w:rPr>
        <w:t>搅拌运输车</w:t>
      </w:r>
      <w:r>
        <w:rPr>
          <w:rFonts w:ascii="宋体" w:eastAsia="宋体" w:hAnsi="宋体" w:hint="eastAsia"/>
          <w:color w:val="000000" w:themeColor="text1"/>
          <w:sz w:val="28"/>
          <w:szCs w:val="28"/>
        </w:rPr>
        <w:t>：</w:t>
      </w:r>
      <w:r>
        <w:rPr>
          <w:rFonts w:ascii="仿宋" w:eastAsia="仿宋" w:hAnsi="仿宋" w:hint="eastAsia"/>
          <w:sz w:val="28"/>
          <w:szCs w:val="28"/>
        </w:rPr>
        <w:t>26467辆；</w:t>
      </w:r>
    </w:p>
    <w:p w:rsidR="00676B88" w:rsidRDefault="004D6FF0" w:rsidP="00F7319D">
      <w:pPr>
        <w:spacing w:line="560" w:lineRule="exact"/>
        <w:ind w:rightChars="-499" w:right="-1198"/>
        <w:jc w:val="both"/>
        <w:rPr>
          <w:rFonts w:ascii="宋体" w:eastAsia="宋体" w:hAnsi="宋体"/>
          <w:color w:val="000000" w:themeColor="text1"/>
          <w:sz w:val="28"/>
          <w:szCs w:val="28"/>
        </w:rPr>
      </w:pPr>
      <w:r>
        <w:rPr>
          <w:rFonts w:ascii="宋体" w:eastAsia="宋体" w:hAnsi="宋体" w:hint="eastAsia"/>
          <w:b/>
          <w:bCs/>
          <w:color w:val="000000" w:themeColor="text1"/>
          <w:sz w:val="28"/>
          <w:szCs w:val="28"/>
        </w:rPr>
        <w:t>汽车泵</w:t>
      </w:r>
      <w:r>
        <w:rPr>
          <w:rFonts w:ascii="宋体" w:eastAsia="宋体" w:hAnsi="宋体" w:hint="eastAsia"/>
          <w:color w:val="000000" w:themeColor="text1"/>
          <w:sz w:val="28"/>
          <w:szCs w:val="28"/>
        </w:rPr>
        <w:t>：</w:t>
      </w:r>
      <w:r>
        <w:rPr>
          <w:rFonts w:ascii="仿宋" w:eastAsia="仿宋" w:hAnsi="仿宋" w:hint="eastAsia"/>
          <w:sz w:val="28"/>
          <w:szCs w:val="28"/>
        </w:rPr>
        <w:t>3825辆</w:t>
      </w:r>
      <w:r w:rsidR="00DC5EC5">
        <w:rPr>
          <w:rFonts w:ascii="仿宋" w:eastAsia="仿宋" w:hAnsi="仿宋" w:hint="eastAsia"/>
          <w:sz w:val="28"/>
          <w:szCs w:val="28"/>
        </w:rPr>
        <w:t>；</w:t>
      </w:r>
      <w:r>
        <w:rPr>
          <w:rFonts w:ascii="宋体" w:eastAsia="宋体" w:hAnsi="宋体" w:hint="eastAsia"/>
          <w:b/>
          <w:bCs/>
          <w:color w:val="000000" w:themeColor="text1"/>
          <w:sz w:val="28"/>
          <w:szCs w:val="28"/>
        </w:rPr>
        <w:t>车载泵（含拖泵）</w:t>
      </w:r>
      <w:r>
        <w:rPr>
          <w:rFonts w:ascii="宋体" w:eastAsia="宋体" w:hAnsi="宋体" w:hint="eastAsia"/>
          <w:color w:val="000000" w:themeColor="text1"/>
          <w:sz w:val="28"/>
          <w:szCs w:val="28"/>
        </w:rPr>
        <w:t>：</w:t>
      </w:r>
      <w:r>
        <w:rPr>
          <w:rFonts w:ascii="仿宋" w:eastAsia="仿宋" w:hAnsi="仿宋" w:hint="eastAsia"/>
          <w:sz w:val="28"/>
          <w:szCs w:val="28"/>
        </w:rPr>
        <w:t>2211台。</w:t>
      </w:r>
      <w:bookmarkStart w:id="0" w:name="_GoBack"/>
      <w:bookmarkEnd w:id="0"/>
    </w:p>
    <w:p w:rsidR="001238A0" w:rsidRDefault="001238A0" w:rsidP="00AB53FF">
      <w:pPr>
        <w:pStyle w:val="ac"/>
        <w:spacing w:line="560" w:lineRule="exact"/>
        <w:ind w:firstLine="643"/>
        <w:jc w:val="both"/>
        <w:rPr>
          <w:rFonts w:ascii="黑体" w:eastAsia="黑体" w:hAnsi="黑体"/>
          <w:b/>
          <w:color w:val="000000"/>
          <w:sz w:val="32"/>
          <w:szCs w:val="32"/>
        </w:rPr>
      </w:pPr>
    </w:p>
    <w:p w:rsidR="00676B88" w:rsidRDefault="004D6FF0" w:rsidP="00AB53FF">
      <w:pPr>
        <w:pStyle w:val="ac"/>
        <w:spacing w:line="560" w:lineRule="exact"/>
        <w:ind w:firstLine="643"/>
        <w:jc w:val="both"/>
        <w:rPr>
          <w:rFonts w:ascii="黑体" w:eastAsia="黑体" w:hAnsi="黑体"/>
          <w:b/>
          <w:color w:val="000000"/>
          <w:sz w:val="32"/>
          <w:szCs w:val="32"/>
        </w:rPr>
      </w:pPr>
      <w:r>
        <w:rPr>
          <w:rFonts w:ascii="黑体" w:eastAsia="黑体" w:hAnsi="黑体" w:hint="eastAsia"/>
          <w:b/>
          <w:color w:val="000000"/>
          <w:sz w:val="32"/>
          <w:szCs w:val="32"/>
        </w:rPr>
        <w:lastRenderedPageBreak/>
        <w:t>二、行业分析</w:t>
      </w:r>
    </w:p>
    <w:p w:rsidR="00676B88" w:rsidRDefault="004D6FF0" w:rsidP="00AB53FF">
      <w:pPr>
        <w:pStyle w:val="ac"/>
        <w:spacing w:line="560" w:lineRule="exact"/>
        <w:ind w:firstLineChars="147" w:firstLine="472"/>
        <w:jc w:val="both"/>
        <w:rPr>
          <w:rFonts w:ascii="黑体" w:eastAsia="黑体" w:hAnsi="黑体"/>
          <w:b/>
          <w:color w:val="000000"/>
          <w:sz w:val="32"/>
          <w:szCs w:val="32"/>
        </w:rPr>
      </w:pPr>
      <w:r>
        <w:rPr>
          <w:rFonts w:ascii="黑体" w:eastAsia="黑体" w:hAnsi="黑体" w:hint="eastAsia"/>
          <w:b/>
          <w:color w:val="000000"/>
          <w:sz w:val="32"/>
          <w:szCs w:val="32"/>
        </w:rPr>
        <w:t>（一）行业经济总量再创新高，利润总额首度出现负增长</w:t>
      </w:r>
    </w:p>
    <w:p w:rsidR="00676B88" w:rsidRDefault="004D6FF0" w:rsidP="00AB53FF">
      <w:pPr>
        <w:spacing w:line="560" w:lineRule="exact"/>
        <w:ind w:firstLineChars="200" w:firstLine="560"/>
        <w:jc w:val="both"/>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2021年是“十四五”开局之年，由于一系列利好政策，如新型城镇化建设、乡村振兴建设及新基建投资力度加大等的拉动，混凝土市场一度呈现供需两旺的局面。</w:t>
      </w:r>
      <w:r w:rsidR="003346CD">
        <w:rPr>
          <w:rFonts w:asciiTheme="minorEastAsia" w:eastAsiaTheme="minorEastAsia" w:hAnsiTheme="minorEastAsia" w:cs="宋体" w:hint="eastAsia"/>
          <w:color w:val="000000" w:themeColor="text1"/>
          <w:sz w:val="28"/>
          <w:szCs w:val="28"/>
        </w:rPr>
        <w:t>又</w:t>
      </w:r>
      <w:r>
        <w:rPr>
          <w:rFonts w:asciiTheme="minorEastAsia" w:eastAsiaTheme="minorEastAsia" w:hAnsiTheme="minorEastAsia" w:cs="宋体" w:hint="eastAsia"/>
          <w:color w:val="000000" w:themeColor="text1"/>
          <w:sz w:val="28"/>
          <w:szCs w:val="28"/>
        </w:rPr>
        <w:t>因金融政策、环保政策收紧，上游原材料紧缺及价格上涨，再加上新冠疫情多点散发，造成市场供需波动起伏，企业生产经营压力加大。</w:t>
      </w:r>
    </w:p>
    <w:p w:rsidR="00676B88" w:rsidRDefault="004D6FF0" w:rsidP="00AB53FF">
      <w:pPr>
        <w:spacing w:line="560" w:lineRule="exact"/>
        <w:ind w:firstLineChars="200" w:firstLine="560"/>
        <w:jc w:val="both"/>
        <w:rPr>
          <w:rFonts w:ascii="宋体" w:eastAsia="宋体" w:hAnsi="宋体"/>
          <w:bCs/>
          <w:color w:val="000000" w:themeColor="text1"/>
          <w:sz w:val="28"/>
          <w:szCs w:val="28"/>
        </w:rPr>
      </w:pPr>
      <w:r>
        <w:rPr>
          <w:rFonts w:ascii="宋体" w:eastAsia="宋体" w:hAnsi="宋体" w:hint="eastAsia"/>
          <w:bCs/>
          <w:color w:val="000000" w:themeColor="text1"/>
          <w:sz w:val="28"/>
          <w:szCs w:val="28"/>
        </w:rPr>
        <w:t>2021年，预拌混凝土累计销售产值1565.56亿元，</w:t>
      </w:r>
      <w:r>
        <w:rPr>
          <w:rFonts w:ascii="宋体" w:eastAsia="宋体" w:hAnsi="宋体"/>
          <w:bCs/>
          <w:color w:val="000000" w:themeColor="text1"/>
          <w:sz w:val="28"/>
          <w:szCs w:val="28"/>
        </w:rPr>
        <w:t>比上年增长</w:t>
      </w:r>
      <w:r>
        <w:rPr>
          <w:rFonts w:ascii="宋体" w:eastAsia="宋体" w:hAnsi="宋体" w:hint="eastAsia"/>
          <w:bCs/>
          <w:color w:val="000000" w:themeColor="text1"/>
          <w:sz w:val="28"/>
          <w:szCs w:val="28"/>
        </w:rPr>
        <w:t>3.55</w:t>
      </w:r>
      <w:r>
        <w:rPr>
          <w:rFonts w:ascii="宋体" w:eastAsia="宋体" w:hAnsi="宋体"/>
          <w:bCs/>
          <w:color w:val="000000" w:themeColor="text1"/>
          <w:sz w:val="28"/>
          <w:szCs w:val="28"/>
        </w:rPr>
        <w:t>%</w:t>
      </w:r>
      <w:r>
        <w:rPr>
          <w:rFonts w:ascii="宋体" w:eastAsia="宋体" w:hAnsi="宋体" w:hint="eastAsia"/>
          <w:bCs/>
          <w:color w:val="000000" w:themeColor="text1"/>
          <w:sz w:val="28"/>
          <w:szCs w:val="28"/>
        </w:rPr>
        <w:t>，行业经济总量再创新高；利润总额累计67亿元，比上年下降8.2%，首度出现年度负增长。主要原因有：</w:t>
      </w:r>
    </w:p>
    <w:p w:rsidR="00676B88" w:rsidRDefault="004D6FF0" w:rsidP="00AB53FF">
      <w:pPr>
        <w:spacing w:line="560" w:lineRule="exact"/>
        <w:ind w:firstLineChars="200" w:firstLine="560"/>
        <w:jc w:val="both"/>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Cs/>
          <w:color w:val="000000" w:themeColor="text1"/>
          <w:sz w:val="28"/>
          <w:szCs w:val="28"/>
        </w:rPr>
        <w:t xml:space="preserve">1、因产能严重过剩、低价竞争激烈，加上亏损企业比上年度增加，导致全行业的平均利润率下降。 </w:t>
      </w:r>
    </w:p>
    <w:p w:rsidR="00676B88" w:rsidRDefault="004D6FF0" w:rsidP="00AB53FF">
      <w:pPr>
        <w:spacing w:line="560" w:lineRule="exact"/>
        <w:ind w:firstLineChars="200" w:firstLine="600"/>
        <w:jc w:val="both"/>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sz w:val="30"/>
          <w:szCs w:val="30"/>
        </w:rPr>
        <w:t>2、</w:t>
      </w:r>
      <w:r>
        <w:rPr>
          <w:rFonts w:asciiTheme="minorEastAsia" w:eastAsiaTheme="minorEastAsia" w:hAnsiTheme="minorEastAsia" w:cstheme="minorEastAsia" w:hint="eastAsia"/>
          <w:bCs/>
          <w:color w:val="000000" w:themeColor="text1"/>
          <w:sz w:val="28"/>
          <w:szCs w:val="28"/>
        </w:rPr>
        <w:t>产业规模和产出持续增加，产能利用率下降。</w:t>
      </w:r>
      <w:r>
        <w:rPr>
          <w:rFonts w:asciiTheme="minorEastAsia" w:eastAsiaTheme="minorEastAsia" w:hAnsiTheme="minorEastAsia" w:cstheme="minorEastAsia" w:hint="eastAsia"/>
          <w:color w:val="000000" w:themeColor="text1"/>
          <w:sz w:val="28"/>
          <w:szCs w:val="28"/>
        </w:rPr>
        <w:t>2021年，虽然有一部分企业由于环保不达标而停业或转产，但部分地区持续投资建新站，相抵后，全省新增混凝土企业53家，全行业混凝土年设计生产能力高达90225万立方米，全年混凝土供应量累计为31436万立方米，增长率为3.43%。但产能利用率仅为34.84 %，与上年度相比，下降了0.38个百分点，说明全行业产能严重过剩的局面没有改变，业内相互竞争的格局持续未变。</w:t>
      </w:r>
    </w:p>
    <w:p w:rsidR="00676B88" w:rsidRDefault="004D6FF0" w:rsidP="00AB53FF">
      <w:pPr>
        <w:spacing w:line="560" w:lineRule="exact"/>
        <w:ind w:firstLineChars="200" w:firstLine="560"/>
        <w:jc w:val="both"/>
        <w:rPr>
          <w:rFonts w:ascii="宋体" w:eastAsia="宋体" w:hAnsi="宋体" w:cs="宋体"/>
          <w:bCs/>
          <w:color w:val="000000" w:themeColor="text1"/>
          <w:sz w:val="28"/>
          <w:szCs w:val="28"/>
        </w:rPr>
      </w:pPr>
      <w:r>
        <w:rPr>
          <w:rFonts w:ascii="宋体" w:eastAsia="宋体" w:hAnsi="宋体" w:cs="宋体" w:hint="eastAsia"/>
          <w:color w:val="000000" w:themeColor="text1"/>
          <w:sz w:val="28"/>
          <w:szCs w:val="28"/>
        </w:rPr>
        <w:t>3、2021年，企业重点在高质量发展等方面的提升，但由于原材料市场价格居高不下，大部分企业存在资金周转困难、应收账款攀升等问题，导致企业生产经营、提质增效受到影响。近年来行业应收账款占比逐年攀升，周转率逐年下降，资金压力逐年加大。据不完全统</w:t>
      </w:r>
      <w:r>
        <w:rPr>
          <w:rFonts w:ascii="宋体" w:eastAsia="宋体" w:hAnsi="宋体" w:cs="宋体" w:hint="eastAsia"/>
          <w:color w:val="000000" w:themeColor="text1"/>
          <w:sz w:val="28"/>
          <w:szCs w:val="28"/>
        </w:rPr>
        <w:lastRenderedPageBreak/>
        <w:t>计，至2021年底，全省预拌混凝土企业历年累计应收账款超过350亿元，应付款超过245亿元。资金周转、回款压力达到近年来顶点，</w:t>
      </w:r>
      <w:r>
        <w:rPr>
          <w:rFonts w:ascii="宋体" w:eastAsia="宋体" w:hAnsi="宋体" w:cs="宋体" w:hint="eastAsia"/>
          <w:bCs/>
          <w:color w:val="000000" w:themeColor="text1"/>
          <w:sz w:val="28"/>
          <w:szCs w:val="28"/>
        </w:rPr>
        <w:t>企业的资金状况对2021年的运营产生重大负面影响。</w:t>
      </w:r>
    </w:p>
    <w:p w:rsidR="00C40440" w:rsidRDefault="00C40440" w:rsidP="00AB53FF">
      <w:pPr>
        <w:spacing w:line="560" w:lineRule="exact"/>
        <w:ind w:firstLineChars="200" w:firstLine="560"/>
        <w:jc w:val="both"/>
        <w:rPr>
          <w:rFonts w:ascii="宋体" w:eastAsia="宋体" w:hAnsi="宋体" w:cs="宋体"/>
          <w:bCs/>
          <w:color w:val="000000" w:themeColor="text1"/>
          <w:sz w:val="28"/>
          <w:szCs w:val="28"/>
        </w:rPr>
      </w:pPr>
    </w:p>
    <w:p w:rsidR="000E0734" w:rsidRDefault="000E0734" w:rsidP="000E0734">
      <w:pPr>
        <w:ind w:rightChars="35" w:right="84" w:firstLineChars="350" w:firstLine="984"/>
        <w:rPr>
          <w:rFonts w:ascii="宋体" w:eastAsia="宋体" w:hAnsi="宋体"/>
          <w:b/>
          <w:color w:val="000000" w:themeColor="text1"/>
          <w:sz w:val="28"/>
          <w:szCs w:val="28"/>
        </w:rPr>
      </w:pPr>
      <w:r>
        <w:rPr>
          <w:rFonts w:ascii="宋体" w:eastAsia="宋体" w:hAnsi="宋体" w:hint="eastAsia"/>
          <w:b/>
          <w:color w:val="000000" w:themeColor="text1"/>
          <w:sz w:val="28"/>
          <w:szCs w:val="28"/>
        </w:rPr>
        <w:t>2017-2021江苏预拌混凝土产量情况（万立方米）</w:t>
      </w:r>
    </w:p>
    <w:p w:rsidR="000E0734" w:rsidRDefault="000E0734" w:rsidP="000E0734">
      <w:pPr>
        <w:ind w:rightChars="35" w:right="84" w:firstLine="495"/>
        <w:rPr>
          <w:rFonts w:ascii="宋体" w:eastAsia="宋体" w:hAnsi="宋体"/>
          <w:b/>
          <w:color w:val="000000" w:themeColor="text1"/>
          <w:sz w:val="28"/>
          <w:szCs w:val="28"/>
        </w:rPr>
      </w:pPr>
      <w:r w:rsidRPr="00720997">
        <w:rPr>
          <w:rFonts w:ascii="宋体" w:eastAsia="宋体" w:hAnsi="宋体"/>
          <w:b/>
          <w:bCs/>
          <w:noProof/>
          <w:color w:val="FF0000"/>
          <w:sz w:val="28"/>
        </w:rPr>
        <w:drawing>
          <wp:inline distT="0" distB="0" distL="0" distR="0">
            <wp:extent cx="4375150" cy="2527300"/>
            <wp:effectExtent l="19050" t="0" r="2540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0440" w:rsidRDefault="00C40440" w:rsidP="000E0734">
      <w:pPr>
        <w:ind w:rightChars="35" w:right="84" w:firstLine="495"/>
        <w:jc w:val="center"/>
        <w:rPr>
          <w:rFonts w:ascii="宋体" w:eastAsia="宋体" w:hAnsi="宋体"/>
          <w:b/>
          <w:color w:val="000000" w:themeColor="text1"/>
          <w:sz w:val="28"/>
          <w:szCs w:val="28"/>
        </w:rPr>
      </w:pPr>
    </w:p>
    <w:p w:rsidR="000E0734" w:rsidRPr="00EB0689" w:rsidRDefault="000E0734" w:rsidP="000E0734">
      <w:pPr>
        <w:ind w:rightChars="35" w:right="84" w:firstLine="495"/>
        <w:jc w:val="center"/>
        <w:rPr>
          <w:rFonts w:ascii="宋体" w:eastAsia="宋体" w:hAnsi="宋体"/>
          <w:b/>
          <w:bCs/>
          <w:color w:val="FF0000"/>
          <w:sz w:val="28"/>
        </w:rPr>
      </w:pPr>
      <w:r>
        <w:rPr>
          <w:rFonts w:ascii="宋体" w:eastAsia="宋体" w:hAnsi="宋体" w:hint="eastAsia"/>
          <w:b/>
          <w:color w:val="000000" w:themeColor="text1"/>
          <w:sz w:val="28"/>
          <w:szCs w:val="28"/>
        </w:rPr>
        <w:t>2017-2021江苏预拌混凝土企业数量（个）</w:t>
      </w:r>
    </w:p>
    <w:p w:rsidR="000E0734" w:rsidRDefault="000E0734" w:rsidP="000E0734">
      <w:pPr>
        <w:ind w:rightChars="35" w:right="84" w:firstLine="495"/>
        <w:rPr>
          <w:rFonts w:ascii="宋体" w:eastAsia="宋体" w:hAnsi="宋体"/>
          <w:b/>
          <w:bCs/>
          <w:color w:val="FF0000"/>
          <w:sz w:val="28"/>
        </w:rPr>
      </w:pPr>
      <w:r w:rsidRPr="00720997">
        <w:rPr>
          <w:rFonts w:ascii="宋体" w:eastAsia="宋体" w:hAnsi="宋体"/>
          <w:b/>
          <w:bCs/>
          <w:noProof/>
          <w:color w:val="FF0000"/>
          <w:sz w:val="28"/>
        </w:rPr>
        <w:drawing>
          <wp:inline distT="0" distB="0" distL="0" distR="0">
            <wp:extent cx="4375150" cy="2501900"/>
            <wp:effectExtent l="19050" t="0" r="25400"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E0734" w:rsidRDefault="000E0734" w:rsidP="00AB53FF">
      <w:pPr>
        <w:spacing w:line="560" w:lineRule="exact"/>
        <w:ind w:firstLineChars="200" w:firstLine="560"/>
        <w:jc w:val="both"/>
        <w:rPr>
          <w:rFonts w:asciiTheme="minorEastAsia" w:eastAsiaTheme="minorEastAsia" w:hAnsiTheme="minorEastAsia" w:cs="宋体"/>
          <w:color w:val="000000" w:themeColor="text1"/>
          <w:sz w:val="28"/>
          <w:szCs w:val="28"/>
        </w:rPr>
      </w:pPr>
    </w:p>
    <w:p w:rsidR="00676B88" w:rsidRDefault="004D6FF0" w:rsidP="00AB53FF">
      <w:pPr>
        <w:pStyle w:val="ac"/>
        <w:spacing w:line="560" w:lineRule="exact"/>
        <w:ind w:firstLineChars="147" w:firstLine="472"/>
        <w:jc w:val="both"/>
        <w:rPr>
          <w:rFonts w:ascii="黑体" w:eastAsia="黑体" w:hAnsi="黑体"/>
          <w:b/>
          <w:color w:val="000000"/>
          <w:sz w:val="32"/>
          <w:szCs w:val="32"/>
        </w:rPr>
      </w:pPr>
      <w:r>
        <w:rPr>
          <w:rFonts w:ascii="黑体" w:eastAsia="黑体" w:hAnsi="黑体" w:hint="eastAsia"/>
          <w:b/>
          <w:color w:val="000000"/>
          <w:sz w:val="32"/>
          <w:szCs w:val="32"/>
        </w:rPr>
        <w:lastRenderedPageBreak/>
        <w:t>（二）全省发展势头总体向上，苏南、苏北产量增长，苏中</w:t>
      </w:r>
      <w:r w:rsidR="00242273">
        <w:rPr>
          <w:rFonts w:ascii="黑体" w:eastAsia="黑体" w:hAnsi="黑体" w:hint="eastAsia"/>
          <w:b/>
          <w:color w:val="000000"/>
          <w:sz w:val="32"/>
          <w:szCs w:val="32"/>
        </w:rPr>
        <w:t>下滑</w:t>
      </w:r>
    </w:p>
    <w:p w:rsidR="00676B88" w:rsidRDefault="004D6FF0" w:rsidP="00AB53FF">
      <w:pPr>
        <w:spacing w:line="560" w:lineRule="exact"/>
        <w:ind w:firstLineChars="200" w:firstLine="560"/>
        <w:jc w:val="both"/>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2021年上半年，市场延续了上年度的增长势头，尤其是苏南，苏北，预拌混凝土供需两旺。但是下半年，受房地产投资放缓、原材料短缺且市场价格持续上涨居高不下、限电、环保等多重因素叠加影响，预拌混凝土市场需求有所减少，企业生产经营受到严重制约，混凝土产量有所下滑。在区域发展方面，苏州、南京两地仍排在全省前列。</w:t>
      </w:r>
    </w:p>
    <w:p w:rsidR="00F54DE5" w:rsidRPr="0087726A" w:rsidRDefault="00F54DE5" w:rsidP="00F54DE5">
      <w:pPr>
        <w:tabs>
          <w:tab w:val="left" w:pos="8640"/>
        </w:tabs>
        <w:spacing w:line="480" w:lineRule="exact"/>
        <w:ind w:rightChars="-2" w:right="-5" w:firstLineChars="250" w:firstLine="703"/>
        <w:jc w:val="center"/>
        <w:rPr>
          <w:rFonts w:ascii="宋体" w:eastAsia="宋体" w:hAnsi="宋体"/>
          <w:color w:val="000000" w:themeColor="text1"/>
          <w:sz w:val="21"/>
          <w:szCs w:val="21"/>
        </w:rPr>
      </w:pPr>
      <w:r w:rsidRPr="0087726A">
        <w:rPr>
          <w:rFonts w:ascii="宋体" w:eastAsia="宋体" w:hAnsi="宋体" w:hint="eastAsia"/>
          <w:b/>
          <w:color w:val="000000" w:themeColor="text1"/>
          <w:sz w:val="28"/>
          <w:szCs w:val="28"/>
        </w:rPr>
        <w:t>2017年-2021年</w:t>
      </w:r>
      <w:r w:rsidRPr="0087726A">
        <w:rPr>
          <w:rFonts w:ascii="宋体" w:eastAsia="宋体" w:hAnsi="宋体" w:hint="eastAsia"/>
          <w:b/>
          <w:color w:val="000000" w:themeColor="text1"/>
          <w:sz w:val="28"/>
        </w:rPr>
        <w:t xml:space="preserve">江苏三大区域混凝土市场发展态势表  </w:t>
      </w:r>
      <w:r w:rsidRPr="0087726A">
        <w:rPr>
          <w:rFonts w:ascii="宋体" w:eastAsia="宋体" w:hAnsi="宋体" w:hint="eastAsia"/>
          <w:color w:val="000000" w:themeColor="text1"/>
          <w:szCs w:val="24"/>
        </w:rPr>
        <w:t>表</w:t>
      </w:r>
      <w:r w:rsidRPr="0087726A">
        <w:rPr>
          <w:rFonts w:ascii="宋体" w:eastAsia="宋体" w:hAnsi="宋体"/>
          <w:color w:val="000000" w:themeColor="text1"/>
          <w:szCs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2"/>
        <w:gridCol w:w="1167"/>
        <w:gridCol w:w="1951"/>
        <w:gridCol w:w="1469"/>
        <w:gridCol w:w="1800"/>
      </w:tblGrid>
      <w:tr w:rsidR="00F54DE5" w:rsidRPr="0087726A" w:rsidTr="00CD6F98">
        <w:trPr>
          <w:trHeight w:val="1149"/>
          <w:jc w:val="center"/>
        </w:trPr>
        <w:tc>
          <w:tcPr>
            <w:tcW w:w="1272" w:type="dxa"/>
            <w:vAlign w:val="center"/>
          </w:tcPr>
          <w:p w:rsidR="00F54DE5" w:rsidRPr="0087726A" w:rsidRDefault="00F54DE5" w:rsidP="00CD6F98">
            <w:pPr>
              <w:tabs>
                <w:tab w:val="left" w:pos="8640"/>
              </w:tabs>
              <w:spacing w:line="480" w:lineRule="exact"/>
              <w:ind w:leftChars="-118" w:left="-283" w:rightChars="-2" w:right="-5"/>
              <w:jc w:val="center"/>
              <w:rPr>
                <w:rFonts w:ascii="宋体" w:eastAsia="宋体" w:hAnsi="宋体"/>
                <w:color w:val="000000" w:themeColor="text1"/>
                <w:sz w:val="28"/>
              </w:rPr>
            </w:pPr>
            <w:r w:rsidRPr="0087726A">
              <w:rPr>
                <w:rFonts w:ascii="宋体" w:eastAsia="宋体" w:hAnsi="宋体" w:hint="eastAsia"/>
                <w:color w:val="000000" w:themeColor="text1"/>
                <w:sz w:val="28"/>
              </w:rPr>
              <w:t>年代</w:t>
            </w:r>
          </w:p>
        </w:tc>
        <w:tc>
          <w:tcPr>
            <w:tcW w:w="1167" w:type="dxa"/>
            <w:vAlign w:val="center"/>
          </w:tcPr>
          <w:p w:rsidR="00F54DE5" w:rsidRPr="0087726A" w:rsidRDefault="00F54DE5" w:rsidP="00CD6F98">
            <w:pPr>
              <w:tabs>
                <w:tab w:val="left" w:pos="8640"/>
              </w:tabs>
              <w:spacing w:line="480" w:lineRule="exact"/>
              <w:ind w:leftChars="-118" w:left="-283" w:rightChars="-2" w:right="-5"/>
              <w:jc w:val="center"/>
              <w:rPr>
                <w:rFonts w:ascii="宋体" w:eastAsia="宋体" w:hAnsi="宋体"/>
                <w:color w:val="000000" w:themeColor="text1"/>
                <w:sz w:val="28"/>
              </w:rPr>
            </w:pPr>
            <w:r w:rsidRPr="0087726A">
              <w:rPr>
                <w:rFonts w:ascii="宋体" w:eastAsia="宋体" w:hAnsi="宋体" w:hint="eastAsia"/>
                <w:color w:val="000000" w:themeColor="text1"/>
                <w:sz w:val="28"/>
              </w:rPr>
              <w:t>地区</w:t>
            </w:r>
          </w:p>
        </w:tc>
        <w:tc>
          <w:tcPr>
            <w:tcW w:w="1951" w:type="dxa"/>
            <w:vAlign w:val="center"/>
          </w:tcPr>
          <w:p w:rsidR="00F54DE5" w:rsidRPr="0087726A" w:rsidRDefault="00F54DE5" w:rsidP="00CD6F98">
            <w:pPr>
              <w:tabs>
                <w:tab w:val="left" w:pos="8640"/>
              </w:tabs>
              <w:spacing w:line="480" w:lineRule="exact"/>
              <w:ind w:leftChars="-118" w:left="-283" w:rightChars="-2" w:right="-5"/>
              <w:jc w:val="center"/>
              <w:rPr>
                <w:rFonts w:ascii="宋体" w:eastAsia="宋体" w:hAnsi="宋体"/>
                <w:color w:val="000000" w:themeColor="text1"/>
                <w:sz w:val="28"/>
              </w:rPr>
            </w:pPr>
            <w:r w:rsidRPr="0087726A">
              <w:rPr>
                <w:rFonts w:ascii="宋体" w:eastAsia="宋体" w:hAnsi="宋体" w:hint="eastAsia"/>
                <w:color w:val="000000" w:themeColor="text1"/>
                <w:sz w:val="28"/>
              </w:rPr>
              <w:t>混凝土产量</w:t>
            </w:r>
          </w:p>
          <w:p w:rsidR="00F54DE5" w:rsidRPr="0087726A" w:rsidRDefault="00F54DE5" w:rsidP="00CD6F98">
            <w:pPr>
              <w:tabs>
                <w:tab w:val="left" w:pos="8640"/>
              </w:tabs>
              <w:spacing w:line="480" w:lineRule="exact"/>
              <w:ind w:leftChars="-118" w:left="-283" w:rightChars="-2" w:right="-5"/>
              <w:jc w:val="center"/>
              <w:rPr>
                <w:rFonts w:ascii="宋体" w:eastAsia="宋体" w:hAnsi="宋体"/>
                <w:color w:val="000000" w:themeColor="text1"/>
                <w:sz w:val="28"/>
              </w:rPr>
            </w:pPr>
            <w:r w:rsidRPr="0087726A">
              <w:rPr>
                <w:rFonts w:ascii="宋体" w:eastAsia="宋体" w:hAnsi="宋体" w:hint="eastAsia"/>
                <w:color w:val="000000" w:themeColor="text1"/>
                <w:sz w:val="28"/>
              </w:rPr>
              <w:t>（</w:t>
            </w:r>
            <w:r w:rsidRPr="0087726A">
              <w:rPr>
                <w:rFonts w:ascii="宋体" w:eastAsia="宋体" w:hAnsi="宋体" w:hint="eastAsia"/>
                <w:color w:val="000000" w:themeColor="text1"/>
                <w:szCs w:val="24"/>
              </w:rPr>
              <w:t>万立方米）</w:t>
            </w:r>
          </w:p>
        </w:tc>
        <w:tc>
          <w:tcPr>
            <w:tcW w:w="1469" w:type="dxa"/>
            <w:vAlign w:val="center"/>
          </w:tcPr>
          <w:p w:rsidR="00F54DE5" w:rsidRPr="0087726A" w:rsidRDefault="00F54DE5" w:rsidP="00CD6F98">
            <w:pPr>
              <w:tabs>
                <w:tab w:val="left" w:pos="8640"/>
              </w:tabs>
              <w:spacing w:line="480" w:lineRule="exact"/>
              <w:ind w:rightChars="-2" w:right="-5" w:firstLineChars="100" w:firstLine="280"/>
              <w:jc w:val="both"/>
              <w:rPr>
                <w:rFonts w:ascii="宋体" w:eastAsia="宋体" w:hAnsi="宋体"/>
                <w:color w:val="000000" w:themeColor="text1"/>
                <w:sz w:val="28"/>
              </w:rPr>
            </w:pPr>
            <w:r w:rsidRPr="0087726A">
              <w:rPr>
                <w:rFonts w:ascii="宋体" w:eastAsia="宋体" w:hAnsi="宋体" w:hint="eastAsia"/>
                <w:color w:val="000000" w:themeColor="text1"/>
                <w:sz w:val="28"/>
              </w:rPr>
              <w:t>所占比例</w:t>
            </w:r>
          </w:p>
          <w:p w:rsidR="00F54DE5" w:rsidRPr="0087726A" w:rsidRDefault="00F54DE5" w:rsidP="00CD6F98">
            <w:pPr>
              <w:tabs>
                <w:tab w:val="left" w:pos="8640"/>
              </w:tabs>
              <w:spacing w:line="480" w:lineRule="exact"/>
              <w:ind w:rightChars="-2" w:right="-5" w:firstLineChars="150" w:firstLine="420"/>
              <w:rPr>
                <w:rFonts w:ascii="宋体" w:eastAsia="宋体" w:hAnsi="宋体"/>
                <w:color w:val="000000" w:themeColor="text1"/>
                <w:sz w:val="28"/>
              </w:rPr>
            </w:pPr>
            <w:r w:rsidRPr="0087726A">
              <w:rPr>
                <w:rFonts w:ascii="宋体" w:eastAsia="宋体" w:hAnsi="宋体" w:hint="eastAsia"/>
                <w:color w:val="000000" w:themeColor="text1"/>
                <w:sz w:val="28"/>
              </w:rPr>
              <w:t>（</w:t>
            </w:r>
            <w:r w:rsidRPr="0087726A">
              <w:rPr>
                <w:rFonts w:ascii="宋体" w:eastAsia="宋体" w:hAnsi="宋体"/>
                <w:color w:val="000000" w:themeColor="text1"/>
                <w:sz w:val="28"/>
              </w:rPr>
              <w:t>%</w:t>
            </w:r>
            <w:r w:rsidRPr="0087726A">
              <w:rPr>
                <w:rFonts w:ascii="宋体" w:eastAsia="宋体" w:hAnsi="宋体" w:hint="eastAsia"/>
                <w:color w:val="000000" w:themeColor="text1"/>
                <w:sz w:val="28"/>
              </w:rPr>
              <w:t>）</w:t>
            </w:r>
          </w:p>
        </w:tc>
        <w:tc>
          <w:tcPr>
            <w:tcW w:w="1800" w:type="dxa"/>
            <w:vAlign w:val="center"/>
          </w:tcPr>
          <w:p w:rsidR="00F54DE5" w:rsidRPr="0087726A" w:rsidRDefault="00F54DE5" w:rsidP="00CD6F98">
            <w:pPr>
              <w:spacing w:line="480" w:lineRule="exact"/>
              <w:ind w:leftChars="50" w:left="400" w:rightChars="-2" w:right="-5" w:hangingChars="100" w:hanging="280"/>
              <w:jc w:val="center"/>
              <w:rPr>
                <w:rFonts w:ascii="宋体" w:eastAsia="宋体" w:hAnsi="宋体"/>
                <w:color w:val="000000" w:themeColor="text1"/>
                <w:sz w:val="28"/>
              </w:rPr>
            </w:pPr>
            <w:r w:rsidRPr="0087726A">
              <w:rPr>
                <w:rFonts w:ascii="宋体" w:eastAsia="宋体" w:hAnsi="宋体" w:hint="eastAsia"/>
                <w:color w:val="000000" w:themeColor="text1"/>
                <w:sz w:val="28"/>
              </w:rPr>
              <w:t>比上年增长（％）</w:t>
            </w:r>
          </w:p>
        </w:tc>
      </w:tr>
      <w:tr w:rsidR="00F54DE5" w:rsidRPr="0087726A" w:rsidTr="00CD6F98">
        <w:trPr>
          <w:trHeight w:val="509"/>
          <w:jc w:val="center"/>
        </w:trPr>
        <w:tc>
          <w:tcPr>
            <w:tcW w:w="1272" w:type="dxa"/>
            <w:vMerge w:val="restart"/>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2017</w:t>
            </w:r>
          </w:p>
        </w:tc>
        <w:tc>
          <w:tcPr>
            <w:tcW w:w="1167" w:type="dxa"/>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苏南</w:t>
            </w:r>
          </w:p>
        </w:tc>
        <w:tc>
          <w:tcPr>
            <w:tcW w:w="1951" w:type="dxa"/>
            <w:vAlign w:val="center"/>
          </w:tcPr>
          <w:p w:rsidR="00F54DE5" w:rsidRPr="00EB0689" w:rsidRDefault="00F54DE5" w:rsidP="00CD6F98">
            <w:pPr>
              <w:tabs>
                <w:tab w:val="left" w:pos="8640"/>
              </w:tabs>
              <w:spacing w:line="480" w:lineRule="exact"/>
              <w:ind w:rightChars="-2" w:right="-5" w:firstLineChars="150" w:firstLine="405"/>
              <w:jc w:val="both"/>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13354.82</w:t>
            </w:r>
          </w:p>
        </w:tc>
        <w:tc>
          <w:tcPr>
            <w:tcW w:w="1469"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57.33</w:t>
            </w:r>
          </w:p>
        </w:tc>
        <w:tc>
          <w:tcPr>
            <w:tcW w:w="1800" w:type="dxa"/>
            <w:vAlign w:val="center"/>
          </w:tcPr>
          <w:p w:rsidR="00F54DE5" w:rsidRPr="00EB0689" w:rsidRDefault="00F54DE5" w:rsidP="00CD6F98">
            <w:pPr>
              <w:tabs>
                <w:tab w:val="left" w:pos="8640"/>
              </w:tabs>
              <w:spacing w:line="480" w:lineRule="exact"/>
              <w:ind w:rightChars="-2" w:right="-5" w:firstLineChars="150" w:firstLine="405"/>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10.03</w:t>
            </w:r>
          </w:p>
        </w:tc>
      </w:tr>
      <w:tr w:rsidR="00F54DE5" w:rsidRPr="0087726A" w:rsidTr="00CD6F98">
        <w:trPr>
          <w:trHeight w:val="416"/>
          <w:jc w:val="center"/>
        </w:trPr>
        <w:tc>
          <w:tcPr>
            <w:tcW w:w="1272" w:type="dxa"/>
            <w:vMerge/>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p>
        </w:tc>
        <w:tc>
          <w:tcPr>
            <w:tcW w:w="1167" w:type="dxa"/>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苏中</w:t>
            </w:r>
          </w:p>
        </w:tc>
        <w:tc>
          <w:tcPr>
            <w:tcW w:w="1951"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 xml:space="preserve"> 3998.14</w:t>
            </w:r>
          </w:p>
        </w:tc>
        <w:tc>
          <w:tcPr>
            <w:tcW w:w="1469"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17.16</w:t>
            </w:r>
          </w:p>
        </w:tc>
        <w:tc>
          <w:tcPr>
            <w:tcW w:w="1800" w:type="dxa"/>
            <w:vAlign w:val="center"/>
          </w:tcPr>
          <w:p w:rsidR="00F54DE5" w:rsidRPr="00EB0689" w:rsidRDefault="00F54DE5" w:rsidP="00CD6F98">
            <w:pPr>
              <w:tabs>
                <w:tab w:val="left" w:pos="8640"/>
              </w:tabs>
              <w:spacing w:line="480" w:lineRule="exact"/>
              <w:ind w:rightChars="-2" w:right="-5" w:firstLineChars="150" w:firstLine="405"/>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25.23</w:t>
            </w:r>
          </w:p>
        </w:tc>
      </w:tr>
      <w:tr w:rsidR="00F54DE5" w:rsidRPr="0087726A" w:rsidTr="00CD6F98">
        <w:trPr>
          <w:trHeight w:val="410"/>
          <w:jc w:val="center"/>
        </w:trPr>
        <w:tc>
          <w:tcPr>
            <w:tcW w:w="1272" w:type="dxa"/>
            <w:vMerge/>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p>
        </w:tc>
        <w:tc>
          <w:tcPr>
            <w:tcW w:w="1167" w:type="dxa"/>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苏北</w:t>
            </w:r>
          </w:p>
        </w:tc>
        <w:tc>
          <w:tcPr>
            <w:tcW w:w="1951"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 xml:space="preserve"> 5938.91</w:t>
            </w:r>
          </w:p>
        </w:tc>
        <w:tc>
          <w:tcPr>
            <w:tcW w:w="1469"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25.5</w:t>
            </w:r>
            <w:r w:rsidRPr="00EB0689">
              <w:rPr>
                <w:rFonts w:asciiTheme="minorEastAsia" w:eastAsiaTheme="minorEastAsia" w:hAnsiTheme="minorEastAsia" w:cs="宋体" w:hint="eastAsia"/>
                <w:color w:val="000000" w:themeColor="text1"/>
                <w:sz w:val="27"/>
                <w:szCs w:val="27"/>
              </w:rPr>
              <w:t>1</w:t>
            </w:r>
          </w:p>
        </w:tc>
        <w:tc>
          <w:tcPr>
            <w:tcW w:w="1800" w:type="dxa"/>
            <w:vAlign w:val="center"/>
          </w:tcPr>
          <w:p w:rsidR="00F54DE5" w:rsidRPr="00EB0689" w:rsidRDefault="00F54DE5" w:rsidP="00CD6F98">
            <w:pPr>
              <w:tabs>
                <w:tab w:val="left" w:pos="8640"/>
              </w:tabs>
              <w:spacing w:line="480" w:lineRule="exact"/>
              <w:ind w:rightChars="-2" w:right="-5" w:firstLineChars="150" w:firstLine="405"/>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14.96</w:t>
            </w:r>
          </w:p>
        </w:tc>
      </w:tr>
      <w:tr w:rsidR="00F54DE5" w:rsidRPr="0087726A" w:rsidTr="00CD6F98">
        <w:trPr>
          <w:jc w:val="center"/>
        </w:trPr>
        <w:tc>
          <w:tcPr>
            <w:tcW w:w="1272" w:type="dxa"/>
            <w:vMerge w:val="restart"/>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2018</w:t>
            </w:r>
          </w:p>
        </w:tc>
        <w:tc>
          <w:tcPr>
            <w:tcW w:w="1167" w:type="dxa"/>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苏南</w:t>
            </w:r>
          </w:p>
        </w:tc>
        <w:tc>
          <w:tcPr>
            <w:tcW w:w="1951" w:type="dxa"/>
            <w:vAlign w:val="center"/>
          </w:tcPr>
          <w:p w:rsidR="00F54DE5" w:rsidRPr="00EB0689" w:rsidRDefault="00F54DE5" w:rsidP="00CD6F98">
            <w:pPr>
              <w:tabs>
                <w:tab w:val="left" w:pos="8640"/>
              </w:tabs>
              <w:spacing w:line="480" w:lineRule="exact"/>
              <w:ind w:rightChars="-2" w:right="-5" w:firstLineChars="100" w:firstLine="270"/>
              <w:jc w:val="both"/>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14591.86</w:t>
            </w:r>
          </w:p>
        </w:tc>
        <w:tc>
          <w:tcPr>
            <w:tcW w:w="1469"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55.31</w:t>
            </w:r>
          </w:p>
        </w:tc>
        <w:tc>
          <w:tcPr>
            <w:tcW w:w="1800" w:type="dxa"/>
            <w:vAlign w:val="center"/>
          </w:tcPr>
          <w:p w:rsidR="00F54DE5" w:rsidRPr="00EB0689" w:rsidRDefault="00F54DE5" w:rsidP="00CD6F98">
            <w:pPr>
              <w:tabs>
                <w:tab w:val="left" w:pos="8640"/>
              </w:tabs>
              <w:spacing w:line="480" w:lineRule="exact"/>
              <w:ind w:rightChars="-2" w:right="-5" w:firstLineChars="150" w:firstLine="405"/>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9.26</w:t>
            </w:r>
          </w:p>
        </w:tc>
      </w:tr>
      <w:tr w:rsidR="00F54DE5" w:rsidRPr="0087726A" w:rsidTr="00CD6F98">
        <w:trPr>
          <w:jc w:val="center"/>
        </w:trPr>
        <w:tc>
          <w:tcPr>
            <w:tcW w:w="1272" w:type="dxa"/>
            <w:vMerge/>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p>
        </w:tc>
        <w:tc>
          <w:tcPr>
            <w:tcW w:w="1167" w:type="dxa"/>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苏中</w:t>
            </w:r>
          </w:p>
        </w:tc>
        <w:tc>
          <w:tcPr>
            <w:tcW w:w="1951"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4825</w:t>
            </w:r>
          </w:p>
        </w:tc>
        <w:tc>
          <w:tcPr>
            <w:tcW w:w="1469"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18.29</w:t>
            </w:r>
          </w:p>
        </w:tc>
        <w:tc>
          <w:tcPr>
            <w:tcW w:w="1800" w:type="dxa"/>
            <w:vAlign w:val="center"/>
          </w:tcPr>
          <w:p w:rsidR="00F54DE5" w:rsidRPr="00EB0689" w:rsidRDefault="00F54DE5" w:rsidP="00CD6F98">
            <w:pPr>
              <w:tabs>
                <w:tab w:val="left" w:pos="8640"/>
              </w:tabs>
              <w:spacing w:line="480" w:lineRule="exact"/>
              <w:ind w:rightChars="-2" w:right="-5" w:firstLineChars="150" w:firstLine="405"/>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20.68</w:t>
            </w:r>
          </w:p>
        </w:tc>
      </w:tr>
      <w:tr w:rsidR="00F54DE5" w:rsidRPr="0087726A" w:rsidTr="00CD6F98">
        <w:trPr>
          <w:jc w:val="center"/>
        </w:trPr>
        <w:tc>
          <w:tcPr>
            <w:tcW w:w="1272" w:type="dxa"/>
            <w:vMerge/>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p>
        </w:tc>
        <w:tc>
          <w:tcPr>
            <w:tcW w:w="1167" w:type="dxa"/>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苏北</w:t>
            </w:r>
          </w:p>
        </w:tc>
        <w:tc>
          <w:tcPr>
            <w:tcW w:w="1951"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 xml:space="preserve"> 6964.44</w:t>
            </w:r>
          </w:p>
        </w:tc>
        <w:tc>
          <w:tcPr>
            <w:tcW w:w="1469"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26.39</w:t>
            </w:r>
          </w:p>
        </w:tc>
        <w:tc>
          <w:tcPr>
            <w:tcW w:w="1800" w:type="dxa"/>
            <w:vAlign w:val="center"/>
          </w:tcPr>
          <w:p w:rsidR="00F54DE5" w:rsidRPr="00EB0689" w:rsidRDefault="00F54DE5" w:rsidP="00CD6F98">
            <w:pPr>
              <w:tabs>
                <w:tab w:val="left" w:pos="8640"/>
              </w:tabs>
              <w:spacing w:line="480" w:lineRule="exact"/>
              <w:ind w:rightChars="-2" w:right="-5" w:firstLineChars="150" w:firstLine="405"/>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17.26</w:t>
            </w:r>
          </w:p>
        </w:tc>
      </w:tr>
      <w:tr w:rsidR="00F54DE5" w:rsidRPr="0087726A" w:rsidTr="00CD6F98">
        <w:trPr>
          <w:jc w:val="center"/>
        </w:trPr>
        <w:tc>
          <w:tcPr>
            <w:tcW w:w="1272" w:type="dxa"/>
            <w:vMerge w:val="restart"/>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2019</w:t>
            </w:r>
          </w:p>
        </w:tc>
        <w:tc>
          <w:tcPr>
            <w:tcW w:w="1167" w:type="dxa"/>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苏南</w:t>
            </w:r>
          </w:p>
        </w:tc>
        <w:tc>
          <w:tcPr>
            <w:tcW w:w="1951"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 xml:space="preserve"> 15983.</w:t>
            </w:r>
            <w:r w:rsidRPr="00EB0689">
              <w:rPr>
                <w:rFonts w:asciiTheme="minorEastAsia" w:eastAsiaTheme="minorEastAsia" w:hAnsiTheme="minorEastAsia" w:cs="宋体" w:hint="eastAsia"/>
                <w:color w:val="000000" w:themeColor="text1"/>
                <w:sz w:val="27"/>
                <w:szCs w:val="27"/>
              </w:rPr>
              <w:t>64</w:t>
            </w:r>
          </w:p>
        </w:tc>
        <w:tc>
          <w:tcPr>
            <w:tcW w:w="1469"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56.71</w:t>
            </w:r>
          </w:p>
        </w:tc>
        <w:tc>
          <w:tcPr>
            <w:tcW w:w="1800"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9.5</w:t>
            </w:r>
            <w:r w:rsidRPr="00EB0689">
              <w:rPr>
                <w:rFonts w:asciiTheme="minorEastAsia" w:eastAsiaTheme="minorEastAsia" w:hAnsiTheme="minorEastAsia" w:cs="宋体" w:hint="eastAsia"/>
                <w:color w:val="000000" w:themeColor="text1"/>
                <w:sz w:val="27"/>
                <w:szCs w:val="27"/>
              </w:rPr>
              <w:t>4</w:t>
            </w:r>
          </w:p>
        </w:tc>
      </w:tr>
      <w:tr w:rsidR="00F54DE5" w:rsidRPr="0087726A" w:rsidTr="00CD6F98">
        <w:trPr>
          <w:jc w:val="center"/>
        </w:trPr>
        <w:tc>
          <w:tcPr>
            <w:tcW w:w="1272" w:type="dxa"/>
            <w:vMerge/>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p>
        </w:tc>
        <w:tc>
          <w:tcPr>
            <w:tcW w:w="1167" w:type="dxa"/>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苏中</w:t>
            </w:r>
          </w:p>
        </w:tc>
        <w:tc>
          <w:tcPr>
            <w:tcW w:w="1951"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 xml:space="preserve"> 5091.41</w:t>
            </w:r>
          </w:p>
        </w:tc>
        <w:tc>
          <w:tcPr>
            <w:tcW w:w="1469"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18.07</w:t>
            </w:r>
          </w:p>
        </w:tc>
        <w:tc>
          <w:tcPr>
            <w:tcW w:w="1800"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5.52</w:t>
            </w:r>
          </w:p>
        </w:tc>
      </w:tr>
      <w:tr w:rsidR="00F54DE5" w:rsidRPr="0087726A" w:rsidTr="00CD6F98">
        <w:trPr>
          <w:jc w:val="center"/>
        </w:trPr>
        <w:tc>
          <w:tcPr>
            <w:tcW w:w="1272" w:type="dxa"/>
            <w:vMerge/>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p>
        </w:tc>
        <w:tc>
          <w:tcPr>
            <w:tcW w:w="1167" w:type="dxa"/>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苏北</w:t>
            </w:r>
          </w:p>
        </w:tc>
        <w:tc>
          <w:tcPr>
            <w:tcW w:w="1951"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7107</w:t>
            </w:r>
            <w:r w:rsidRPr="00EB0689">
              <w:rPr>
                <w:rFonts w:asciiTheme="minorEastAsia" w:eastAsiaTheme="minorEastAsia" w:hAnsiTheme="minorEastAsia" w:cs="宋体" w:hint="eastAsia"/>
                <w:color w:val="000000" w:themeColor="text1"/>
                <w:sz w:val="27"/>
                <w:szCs w:val="27"/>
              </w:rPr>
              <w:t>.03</w:t>
            </w:r>
          </w:p>
        </w:tc>
        <w:tc>
          <w:tcPr>
            <w:tcW w:w="1469"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25.22</w:t>
            </w:r>
          </w:p>
        </w:tc>
        <w:tc>
          <w:tcPr>
            <w:tcW w:w="1800"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color w:val="000000" w:themeColor="text1"/>
                <w:sz w:val="27"/>
                <w:szCs w:val="27"/>
              </w:rPr>
              <w:t>2.05</w:t>
            </w:r>
          </w:p>
        </w:tc>
      </w:tr>
      <w:tr w:rsidR="00F54DE5" w:rsidRPr="0087726A" w:rsidTr="00CD6F98">
        <w:trPr>
          <w:jc w:val="center"/>
        </w:trPr>
        <w:tc>
          <w:tcPr>
            <w:tcW w:w="1272" w:type="dxa"/>
            <w:vMerge w:val="restart"/>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2020</w:t>
            </w:r>
          </w:p>
        </w:tc>
        <w:tc>
          <w:tcPr>
            <w:tcW w:w="1167" w:type="dxa"/>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苏南</w:t>
            </w:r>
          </w:p>
        </w:tc>
        <w:tc>
          <w:tcPr>
            <w:tcW w:w="1951"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16204.37</w:t>
            </w:r>
          </w:p>
        </w:tc>
        <w:tc>
          <w:tcPr>
            <w:tcW w:w="1469"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53.31</w:t>
            </w:r>
          </w:p>
        </w:tc>
        <w:tc>
          <w:tcPr>
            <w:tcW w:w="1800"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1.38</w:t>
            </w:r>
          </w:p>
        </w:tc>
      </w:tr>
      <w:tr w:rsidR="00F54DE5" w:rsidRPr="0087726A" w:rsidTr="00CD6F98">
        <w:trPr>
          <w:jc w:val="center"/>
        </w:trPr>
        <w:tc>
          <w:tcPr>
            <w:tcW w:w="1272" w:type="dxa"/>
            <w:vMerge/>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p>
        </w:tc>
        <w:tc>
          <w:tcPr>
            <w:tcW w:w="1167" w:type="dxa"/>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苏中</w:t>
            </w:r>
          </w:p>
        </w:tc>
        <w:tc>
          <w:tcPr>
            <w:tcW w:w="1951"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5426.21</w:t>
            </w:r>
          </w:p>
        </w:tc>
        <w:tc>
          <w:tcPr>
            <w:tcW w:w="1469"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17.85</w:t>
            </w:r>
          </w:p>
        </w:tc>
        <w:tc>
          <w:tcPr>
            <w:tcW w:w="1800"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6.57</w:t>
            </w:r>
          </w:p>
        </w:tc>
      </w:tr>
      <w:tr w:rsidR="00F54DE5" w:rsidRPr="0087726A" w:rsidTr="00CD6F98">
        <w:trPr>
          <w:jc w:val="center"/>
        </w:trPr>
        <w:tc>
          <w:tcPr>
            <w:tcW w:w="1272" w:type="dxa"/>
            <w:vMerge/>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p>
        </w:tc>
        <w:tc>
          <w:tcPr>
            <w:tcW w:w="1167" w:type="dxa"/>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苏北</w:t>
            </w:r>
          </w:p>
        </w:tc>
        <w:tc>
          <w:tcPr>
            <w:tcW w:w="1951"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8763.52</w:t>
            </w:r>
          </w:p>
        </w:tc>
        <w:tc>
          <w:tcPr>
            <w:tcW w:w="1469"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28.83</w:t>
            </w:r>
          </w:p>
        </w:tc>
        <w:tc>
          <w:tcPr>
            <w:tcW w:w="1800"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23.3</w:t>
            </w:r>
          </w:p>
        </w:tc>
      </w:tr>
      <w:tr w:rsidR="00F54DE5" w:rsidRPr="0087726A" w:rsidTr="00CD6F98">
        <w:trPr>
          <w:jc w:val="center"/>
        </w:trPr>
        <w:tc>
          <w:tcPr>
            <w:tcW w:w="1272" w:type="dxa"/>
            <w:vMerge w:val="restart"/>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2021</w:t>
            </w:r>
          </w:p>
        </w:tc>
        <w:tc>
          <w:tcPr>
            <w:tcW w:w="1167" w:type="dxa"/>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苏南</w:t>
            </w:r>
          </w:p>
        </w:tc>
        <w:tc>
          <w:tcPr>
            <w:tcW w:w="1951"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16896.44</w:t>
            </w:r>
          </w:p>
        </w:tc>
        <w:tc>
          <w:tcPr>
            <w:tcW w:w="1469"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53.74</w:t>
            </w:r>
          </w:p>
        </w:tc>
        <w:tc>
          <w:tcPr>
            <w:tcW w:w="1800"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4.27</w:t>
            </w:r>
          </w:p>
        </w:tc>
      </w:tr>
      <w:tr w:rsidR="00F54DE5" w:rsidRPr="0087726A" w:rsidTr="00CD6F98">
        <w:trPr>
          <w:jc w:val="center"/>
        </w:trPr>
        <w:tc>
          <w:tcPr>
            <w:tcW w:w="1272" w:type="dxa"/>
            <w:vMerge/>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p>
        </w:tc>
        <w:tc>
          <w:tcPr>
            <w:tcW w:w="1167" w:type="dxa"/>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苏中</w:t>
            </w:r>
          </w:p>
        </w:tc>
        <w:tc>
          <w:tcPr>
            <w:tcW w:w="1951"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4670.82</w:t>
            </w:r>
          </w:p>
        </w:tc>
        <w:tc>
          <w:tcPr>
            <w:tcW w:w="1469"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14.85</w:t>
            </w:r>
          </w:p>
        </w:tc>
        <w:tc>
          <w:tcPr>
            <w:tcW w:w="1800"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13.9</w:t>
            </w:r>
          </w:p>
        </w:tc>
      </w:tr>
      <w:tr w:rsidR="00F54DE5" w:rsidRPr="0087726A" w:rsidTr="00CD6F98">
        <w:trPr>
          <w:jc w:val="center"/>
        </w:trPr>
        <w:tc>
          <w:tcPr>
            <w:tcW w:w="1272" w:type="dxa"/>
            <w:vMerge/>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p>
        </w:tc>
        <w:tc>
          <w:tcPr>
            <w:tcW w:w="1167" w:type="dxa"/>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苏北</w:t>
            </w:r>
          </w:p>
        </w:tc>
        <w:tc>
          <w:tcPr>
            <w:tcW w:w="1951"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9869.09</w:t>
            </w:r>
          </w:p>
        </w:tc>
        <w:tc>
          <w:tcPr>
            <w:tcW w:w="1469"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31.39</w:t>
            </w:r>
          </w:p>
        </w:tc>
        <w:tc>
          <w:tcPr>
            <w:tcW w:w="1800" w:type="dxa"/>
            <w:vAlign w:val="center"/>
          </w:tcPr>
          <w:p w:rsidR="00F54DE5" w:rsidRPr="00EB0689" w:rsidRDefault="00F54DE5" w:rsidP="00CD6F98">
            <w:pPr>
              <w:tabs>
                <w:tab w:val="left" w:pos="8640"/>
              </w:tabs>
              <w:spacing w:line="480" w:lineRule="exact"/>
              <w:ind w:leftChars="-118" w:left="-283" w:rightChars="-2" w:right="-5"/>
              <w:jc w:val="center"/>
              <w:rPr>
                <w:rFonts w:asciiTheme="minorEastAsia" w:eastAsiaTheme="minorEastAsia" w:hAnsiTheme="minorEastAsia" w:cs="宋体"/>
                <w:color w:val="000000" w:themeColor="text1"/>
                <w:sz w:val="27"/>
                <w:szCs w:val="27"/>
              </w:rPr>
            </w:pPr>
            <w:r w:rsidRPr="00EB0689">
              <w:rPr>
                <w:rFonts w:asciiTheme="minorEastAsia" w:eastAsiaTheme="minorEastAsia" w:hAnsiTheme="minorEastAsia" w:cs="宋体" w:hint="eastAsia"/>
                <w:color w:val="000000" w:themeColor="text1"/>
                <w:sz w:val="27"/>
                <w:szCs w:val="27"/>
              </w:rPr>
              <w:t>12.61</w:t>
            </w:r>
          </w:p>
        </w:tc>
      </w:tr>
    </w:tbl>
    <w:p w:rsidR="00676B88" w:rsidRDefault="004D6FF0" w:rsidP="00AB53FF">
      <w:pPr>
        <w:tabs>
          <w:tab w:val="left" w:pos="8640"/>
        </w:tabs>
        <w:spacing w:line="560" w:lineRule="exact"/>
        <w:ind w:rightChars="-2" w:right="-5"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2021年，苏南五个市的混凝土搅拌机年设计生产能力累计达43272万立方米，比上年增加97万立方米；五个市完成的混凝土供应量累计为16896.44万立方米，比上年增长4.27%，占全省总方量的53.74%。其中：</w:t>
      </w:r>
    </w:p>
    <w:p w:rsidR="00676B88" w:rsidRDefault="004D6FF0" w:rsidP="00AB53FF">
      <w:pPr>
        <w:tabs>
          <w:tab w:val="left" w:pos="8640"/>
        </w:tabs>
        <w:spacing w:line="560" w:lineRule="exact"/>
        <w:ind w:rightChars="-2" w:right="-5"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苏州市及所属的5个县级市以6339.44万立方米，增幅12.41%，占全省总量的20.16%，继续保持全省第一的位置。</w:t>
      </w:r>
      <w:r>
        <w:rPr>
          <w:rFonts w:asciiTheme="minorEastAsia" w:eastAsiaTheme="minorEastAsia" w:hAnsiTheme="minorEastAsia" w:cstheme="minorEastAsia" w:hint="eastAsia"/>
          <w:color w:val="000000"/>
          <w:sz w:val="28"/>
          <w:szCs w:val="28"/>
        </w:rPr>
        <w:t>苏州所属的5个县级市对苏州地区的贡献率达63.5%，其中昆山市</w:t>
      </w:r>
      <w:r w:rsidR="003346CD">
        <w:rPr>
          <w:rFonts w:asciiTheme="minorEastAsia" w:eastAsiaTheme="minorEastAsia" w:hAnsiTheme="minorEastAsia" w:cstheme="minorEastAsia" w:hint="eastAsia"/>
          <w:sz w:val="28"/>
          <w:szCs w:val="28"/>
        </w:rPr>
        <w:t>为</w:t>
      </w:r>
      <w:r>
        <w:rPr>
          <w:rFonts w:asciiTheme="minorEastAsia" w:eastAsiaTheme="minorEastAsia" w:hAnsiTheme="minorEastAsia" w:cstheme="minorEastAsia" w:hint="eastAsia"/>
          <w:sz w:val="28"/>
          <w:szCs w:val="28"/>
        </w:rPr>
        <w:t>1170.5万立方米,增长1.46%,继续位列全省县级市第一；昆山市对苏州地区的贡献率达18.46%。</w:t>
      </w:r>
    </w:p>
    <w:p w:rsidR="00676B88" w:rsidRDefault="004D6FF0" w:rsidP="00AB53FF">
      <w:pPr>
        <w:tabs>
          <w:tab w:val="left" w:pos="8640"/>
        </w:tabs>
        <w:spacing w:line="560" w:lineRule="exact"/>
        <w:ind w:rightChars="-2" w:right="-5"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南京市共完成混凝土方量4500万立方米，比上年增长2.84%，占全省总量的14.31%。</w:t>
      </w:r>
      <w:r w:rsidR="003346CD">
        <w:rPr>
          <w:rFonts w:asciiTheme="minorEastAsia" w:eastAsiaTheme="minorEastAsia" w:hAnsiTheme="minorEastAsia" w:cstheme="minorEastAsia" w:hint="eastAsia"/>
          <w:sz w:val="28"/>
          <w:szCs w:val="28"/>
        </w:rPr>
        <w:t>南京的</w:t>
      </w:r>
      <w:r>
        <w:rPr>
          <w:rFonts w:asciiTheme="minorEastAsia" w:eastAsiaTheme="minorEastAsia" w:hAnsiTheme="minorEastAsia" w:cstheme="minorEastAsia" w:hint="eastAsia"/>
          <w:sz w:val="28"/>
          <w:szCs w:val="28"/>
        </w:rPr>
        <w:t>江北新区保持了持续增长势头，江南供应势头减缓。</w:t>
      </w:r>
    </w:p>
    <w:p w:rsidR="00676B88" w:rsidRDefault="004D6FF0" w:rsidP="00AB53FF">
      <w:pPr>
        <w:tabs>
          <w:tab w:val="left" w:pos="8640"/>
        </w:tabs>
        <w:spacing w:line="560" w:lineRule="exact"/>
        <w:ind w:rightChars="-2" w:right="-5"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无锡1个地级市和两个县级市共完成混凝土供应量2612万立方米，比上年增长9.84%，占全省总量的8.3%。其中，无锡市区2021年供应混凝土1660万立方米，增幅达10.66%；而宜兴市供应混凝土451万立方米，增长14.76%，江阴市供应混凝土501万立方米，增长3.3%，紧随其后。整个无锡地区已扭转了上年度市场需求下降的局面。</w:t>
      </w:r>
    </w:p>
    <w:p w:rsidR="00676B88" w:rsidRDefault="004D6FF0" w:rsidP="00AB53FF">
      <w:pPr>
        <w:tabs>
          <w:tab w:val="left" w:pos="8640"/>
        </w:tabs>
        <w:spacing w:line="560" w:lineRule="exact"/>
        <w:ind w:rightChars="-2" w:right="-5"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常州及所属1个地级市和两个县级市，延续了2020年下半年需求旺盛势头，2021年共完成混凝土方供应2445万立方米，比上年度增长10%；在全省市场占比为7.77%。其中，常州市区完成混凝土供应1795万立方米，增长12.21%；金坛市完成300万立方米，比上年下降4%；溧阳市完成350万立方米，比上年增长16.6%。</w:t>
      </w:r>
    </w:p>
    <w:p w:rsidR="00AB53FF" w:rsidRDefault="004D6FF0" w:rsidP="00AB53FF">
      <w:pPr>
        <w:tabs>
          <w:tab w:val="left" w:pos="8640"/>
        </w:tabs>
        <w:spacing w:line="560" w:lineRule="exact"/>
        <w:ind w:rightChars="-2" w:right="-5"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镇江市所属1个地级市和3个县级市（丹阳、句容、扬中），市场出现较大波动，2021年共完成混凝土供应量1000万立方米，比上年下降390万立方米；该区域占全省总量的3.18%。</w:t>
      </w:r>
    </w:p>
    <w:p w:rsidR="00676B88" w:rsidRPr="003346CD" w:rsidRDefault="004D6FF0" w:rsidP="003346CD">
      <w:pPr>
        <w:tabs>
          <w:tab w:val="left" w:pos="8640"/>
        </w:tabs>
        <w:spacing w:line="560" w:lineRule="exact"/>
        <w:ind w:rightChars="-2" w:right="-5"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shd w:val="clear" w:color="auto" w:fill="FFFFFF"/>
        </w:rPr>
        <w:t>苏中地区所属3个大市，即南通、扬州、泰州，三市2021年完成混凝土供应量4670.82万立方米，占全省总量的14.85%，比2021年下降了755万立方米,降幅达13.9%。</w:t>
      </w:r>
      <w:r w:rsidRPr="00242273">
        <w:rPr>
          <w:rFonts w:asciiTheme="minorEastAsia" w:eastAsiaTheme="minorEastAsia" w:hAnsiTheme="minorEastAsia" w:cstheme="minorEastAsia" w:hint="eastAsia"/>
          <w:sz w:val="28"/>
          <w:szCs w:val="28"/>
          <w:shd w:val="clear" w:color="auto" w:fill="FFFFFF"/>
        </w:rPr>
        <w:t>其中：</w:t>
      </w:r>
    </w:p>
    <w:p w:rsidR="00676B88" w:rsidRDefault="004D6FF0" w:rsidP="00AB53FF">
      <w:pPr>
        <w:spacing w:line="560" w:lineRule="exact"/>
        <w:ind w:rightChars="35" w:right="84" w:firstLine="495"/>
        <w:jc w:val="both"/>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南通市有1个地级市，5个县级市和1个县，2021预拌混凝土供应量为2930万立方米，占全省总量的9.32%，与上一年度相比,产量增幅为8.1%。其中，南通市区完成混凝土供应量866万立方米，比上年下降0.74%；海门区混凝土供应量276万立方米，比上年下降16.1%。而通州区、如皋市、启东市、如东县和海安市均有不同程度的增长；其中启东市增幅最大，2021预拌混凝土供应量为376万立方米，比上年度增长28.28%。</w:t>
      </w:r>
    </w:p>
    <w:p w:rsidR="00676B88" w:rsidRDefault="004D6FF0" w:rsidP="00AB53FF">
      <w:pPr>
        <w:spacing w:line="560" w:lineRule="exact"/>
        <w:ind w:rightChars="35" w:right="84" w:firstLine="495"/>
        <w:jc w:val="both"/>
        <w:rPr>
          <w:rFonts w:asciiTheme="minorEastAsia" w:eastAsiaTheme="minorEastAsia" w:hAnsiTheme="minorEastAsia" w:cstheme="minorEastAsia"/>
          <w:sz w:val="28"/>
          <w:szCs w:val="28"/>
          <w:shd w:val="clear" w:color="auto" w:fill="FFFFFF"/>
        </w:rPr>
      </w:pPr>
      <w:r>
        <w:rPr>
          <w:rFonts w:asciiTheme="minorEastAsia" w:eastAsiaTheme="minorEastAsia" w:hAnsiTheme="minorEastAsia" w:cstheme="minorEastAsia" w:hint="eastAsia"/>
          <w:sz w:val="28"/>
          <w:szCs w:val="28"/>
          <w:shd w:val="clear" w:color="auto" w:fill="FFFFFF"/>
        </w:rPr>
        <w:t>扬州市完成混凝土供应量1245万立方米，比上年下降9%。其中，</w:t>
      </w:r>
      <w:r w:rsidR="00F62B36">
        <w:rPr>
          <w:rFonts w:asciiTheme="minorEastAsia" w:eastAsiaTheme="minorEastAsia" w:hAnsiTheme="minorEastAsia" w:cstheme="minorEastAsia" w:hint="eastAsia"/>
          <w:sz w:val="28"/>
          <w:szCs w:val="28"/>
          <w:shd w:val="clear" w:color="auto" w:fill="FFFFFF"/>
        </w:rPr>
        <w:t>扬州</w:t>
      </w:r>
      <w:r>
        <w:rPr>
          <w:rFonts w:asciiTheme="minorEastAsia" w:eastAsiaTheme="minorEastAsia" w:hAnsiTheme="minorEastAsia" w:cstheme="minorEastAsia" w:hint="eastAsia"/>
          <w:sz w:val="28"/>
          <w:szCs w:val="28"/>
          <w:shd w:val="clear" w:color="auto" w:fill="FFFFFF"/>
        </w:rPr>
        <w:t>城区完成585万立方米，比上年度增长3.9%。宝应县增长了4.16%。而仪征市、江都市出现较大降幅，其中仪征市降幅高达31.9%；江都市降幅为9.37%。</w:t>
      </w:r>
    </w:p>
    <w:p w:rsidR="00676B88" w:rsidRPr="00AB53FF" w:rsidRDefault="004D6FF0" w:rsidP="00AB53FF">
      <w:pPr>
        <w:spacing w:line="560" w:lineRule="exact"/>
        <w:ind w:rightChars="35" w:right="84" w:firstLine="495"/>
        <w:jc w:val="both"/>
        <w:rPr>
          <w:rFonts w:asciiTheme="minorEastAsia" w:eastAsiaTheme="minorEastAsia" w:hAnsiTheme="minorEastAsia" w:cstheme="minorEastAsia"/>
          <w:sz w:val="28"/>
          <w:szCs w:val="28"/>
        </w:rPr>
      </w:pPr>
      <w:r w:rsidRPr="00AB53FF">
        <w:rPr>
          <w:rFonts w:asciiTheme="minorEastAsia" w:eastAsiaTheme="minorEastAsia" w:hAnsiTheme="minorEastAsia" w:cstheme="minorEastAsia" w:hint="eastAsia"/>
          <w:sz w:val="28"/>
          <w:szCs w:val="28"/>
        </w:rPr>
        <w:t>泰州市完成1495.8万立方米，比上年度增长11%。在全省占比为4.75%。其中，泰州市区完成混凝土供应量600万立方米，与上年度基本持平。</w:t>
      </w:r>
    </w:p>
    <w:p w:rsidR="00676B88" w:rsidRPr="00AB53FF" w:rsidRDefault="004D6FF0" w:rsidP="00AB53FF">
      <w:pPr>
        <w:spacing w:line="560" w:lineRule="exact"/>
        <w:ind w:rightChars="35" w:right="84" w:firstLineChars="200" w:firstLine="560"/>
        <w:jc w:val="both"/>
        <w:rPr>
          <w:rFonts w:asciiTheme="minorEastAsia" w:eastAsiaTheme="minorEastAsia" w:hAnsiTheme="minorEastAsia" w:cstheme="minorEastAsia"/>
          <w:sz w:val="28"/>
          <w:szCs w:val="28"/>
        </w:rPr>
      </w:pPr>
      <w:r w:rsidRPr="00AB53FF">
        <w:rPr>
          <w:rFonts w:asciiTheme="minorEastAsia" w:eastAsiaTheme="minorEastAsia" w:hAnsiTheme="minorEastAsia" w:cstheme="minorEastAsia" w:hint="eastAsia"/>
          <w:sz w:val="28"/>
          <w:szCs w:val="28"/>
        </w:rPr>
        <w:t>苏北的徐州、淮安、盐城、连云港和宿迁5市的混凝土供应量达9869万立方米，占全省总方量的31.39%，较2020年增长了12.61%。其中：</w:t>
      </w:r>
    </w:p>
    <w:p w:rsidR="00676B88" w:rsidRPr="00AB53FF" w:rsidRDefault="004D6FF0" w:rsidP="00AB53FF">
      <w:pPr>
        <w:spacing w:line="560" w:lineRule="exact"/>
        <w:ind w:rightChars="35" w:right="84" w:firstLineChars="200" w:firstLine="560"/>
        <w:jc w:val="both"/>
        <w:rPr>
          <w:rFonts w:asciiTheme="minorEastAsia" w:eastAsiaTheme="minorEastAsia" w:hAnsiTheme="minorEastAsia" w:cstheme="minorEastAsia"/>
          <w:sz w:val="28"/>
          <w:szCs w:val="28"/>
        </w:rPr>
      </w:pPr>
      <w:r w:rsidRPr="00AB53FF">
        <w:rPr>
          <w:rFonts w:asciiTheme="minorEastAsia" w:eastAsiaTheme="minorEastAsia" w:hAnsiTheme="minorEastAsia" w:cstheme="minorEastAsia" w:hint="eastAsia"/>
          <w:sz w:val="28"/>
          <w:szCs w:val="28"/>
        </w:rPr>
        <w:lastRenderedPageBreak/>
        <w:t>盐城市所属1个地级市，2个县级市和5个县，共116家企业，2021年共完成混凝土供应量3365万立方米，增长幅度高达51.92%，是全省增长幅度最大的地区；盐城市在全省的占比为10.7%。</w:t>
      </w:r>
    </w:p>
    <w:p w:rsidR="00676B88" w:rsidRPr="00AB53FF" w:rsidRDefault="004D6FF0" w:rsidP="00AB53FF">
      <w:pPr>
        <w:spacing w:line="560" w:lineRule="exact"/>
        <w:ind w:rightChars="35" w:right="84" w:firstLineChars="200" w:firstLine="560"/>
        <w:jc w:val="both"/>
        <w:rPr>
          <w:rFonts w:asciiTheme="minorEastAsia" w:eastAsiaTheme="minorEastAsia" w:hAnsiTheme="minorEastAsia" w:cstheme="minorEastAsia"/>
          <w:sz w:val="28"/>
          <w:szCs w:val="28"/>
        </w:rPr>
      </w:pPr>
      <w:r w:rsidRPr="00AB53FF">
        <w:rPr>
          <w:rFonts w:asciiTheme="minorEastAsia" w:eastAsiaTheme="minorEastAsia" w:hAnsiTheme="minorEastAsia" w:cstheme="minorEastAsia" w:hint="eastAsia"/>
          <w:sz w:val="28"/>
          <w:szCs w:val="28"/>
        </w:rPr>
        <w:t>淮安市所属1个地级市和4个县、区，2021年共完成混凝土供应1430.6万立方米，与上年度相比增长11.45%；在全省的占比为4.55%。</w:t>
      </w:r>
    </w:p>
    <w:p w:rsidR="00676B88" w:rsidRPr="00AB53FF" w:rsidRDefault="004D6FF0" w:rsidP="00AB53FF">
      <w:pPr>
        <w:spacing w:line="560" w:lineRule="exact"/>
        <w:ind w:rightChars="35" w:right="84" w:firstLineChars="200" w:firstLine="560"/>
        <w:jc w:val="both"/>
        <w:rPr>
          <w:rFonts w:asciiTheme="minorEastAsia" w:eastAsiaTheme="minorEastAsia" w:hAnsiTheme="minorEastAsia" w:cstheme="minorEastAsia"/>
          <w:sz w:val="28"/>
          <w:szCs w:val="28"/>
        </w:rPr>
      </w:pPr>
      <w:r w:rsidRPr="00AB53FF">
        <w:rPr>
          <w:rFonts w:asciiTheme="minorEastAsia" w:eastAsiaTheme="minorEastAsia" w:hAnsiTheme="minorEastAsia" w:cstheme="minorEastAsia" w:hint="eastAsia"/>
          <w:sz w:val="28"/>
          <w:szCs w:val="28"/>
        </w:rPr>
        <w:t>徐州市有1个地级市和5个县，全年完成2515.8万立方米，增长幅度为8.12%；在全省的占比为8%。</w:t>
      </w:r>
    </w:p>
    <w:p w:rsidR="00676B88" w:rsidRPr="00AB53FF" w:rsidRDefault="004D6FF0" w:rsidP="00AB53FF">
      <w:pPr>
        <w:spacing w:line="560" w:lineRule="exact"/>
        <w:ind w:rightChars="35" w:right="84" w:firstLineChars="200" w:firstLine="560"/>
        <w:jc w:val="both"/>
        <w:rPr>
          <w:rFonts w:asciiTheme="minorEastAsia" w:eastAsiaTheme="minorEastAsia" w:hAnsiTheme="minorEastAsia" w:cstheme="minorEastAsia"/>
          <w:sz w:val="28"/>
          <w:szCs w:val="28"/>
        </w:rPr>
      </w:pPr>
      <w:r w:rsidRPr="00AB53FF">
        <w:rPr>
          <w:rFonts w:asciiTheme="minorEastAsia" w:eastAsiaTheme="minorEastAsia" w:hAnsiTheme="minorEastAsia" w:cstheme="minorEastAsia" w:hint="eastAsia"/>
          <w:sz w:val="28"/>
          <w:szCs w:val="28"/>
        </w:rPr>
        <w:t>宿迁市有1个地级市和4个县，有82家企业，2021年共完成混凝土供应量1307.66万立方米，比上年下降39.7%。尤其是宿迁城区,全年供应混凝土607.9万立方米,比上年平均下降24%%；泗洪县完成203.63万立方米，比上年平均下降21.56%；沭阳县完成147.9万立方米，比上年度下降达70%。宿迁市在全省的占比为4.16%。</w:t>
      </w:r>
    </w:p>
    <w:p w:rsidR="00AB53FF" w:rsidRDefault="004D6FF0" w:rsidP="00AB53FF">
      <w:pPr>
        <w:spacing w:line="560" w:lineRule="exact"/>
        <w:ind w:rightChars="35" w:right="84" w:firstLineChars="200" w:firstLine="560"/>
        <w:jc w:val="both"/>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连云港市所属1个地级市和4个县，完成1250万立方米，比上年增长62.7%。在全省的占比为3.97%。</w:t>
      </w:r>
    </w:p>
    <w:p w:rsidR="00C40440" w:rsidRDefault="004D6FF0" w:rsidP="00C40440">
      <w:pPr>
        <w:spacing w:line="560" w:lineRule="exact"/>
        <w:ind w:rightChars="35" w:right="84" w:firstLineChars="200" w:firstLine="560"/>
        <w:jc w:val="both"/>
        <w:rPr>
          <w:rFonts w:ascii="宋体" w:eastAsia="宋体" w:hAnsi="宋体" w:cs="宋体"/>
          <w:sz w:val="28"/>
          <w:szCs w:val="28"/>
        </w:rPr>
      </w:pPr>
      <w:r>
        <w:rPr>
          <w:rFonts w:ascii="宋体" w:eastAsia="宋体" w:hAnsi="宋体" w:cs="宋体" w:hint="eastAsia"/>
          <w:sz w:val="28"/>
          <w:szCs w:val="28"/>
        </w:rPr>
        <w:t>从全省来看，苏南地区的中心城市，混凝土市场基本平稳,但总体看，这一区域今年乃至今后几年增长幅度有限。继续拉动江苏混凝土市场的主要还是面积占72%的苏中，苏北地区，尤其是这一地区的县和县级市，随着我省城镇化率的稳步提高,对混凝土市场的需求量仍有一定的增长空间。应该看到，长期以来，江苏的经济发展一直保持平稳较快的增长态势。虽然，受国家宏观调控等大环境的影响，但江苏城乡一体化建设的进程一直没有放慢。由于江苏的经济发展一直比较稳健，混凝土市场与总体经济发展格局基本同步。</w:t>
      </w:r>
    </w:p>
    <w:p w:rsidR="00C40440" w:rsidRDefault="00C40440" w:rsidP="00C40440">
      <w:pPr>
        <w:spacing w:line="560" w:lineRule="exact"/>
        <w:ind w:rightChars="35" w:right="84"/>
        <w:jc w:val="both"/>
        <w:rPr>
          <w:rFonts w:ascii="宋体" w:eastAsia="宋体" w:hAnsi="宋体" w:cs="宋体"/>
          <w:sz w:val="28"/>
          <w:szCs w:val="28"/>
        </w:rPr>
        <w:sectPr w:rsidR="00C40440" w:rsidSect="00676B88">
          <w:footerReference w:type="even" r:id="rId10"/>
          <w:footerReference w:type="default" r:id="rId11"/>
          <w:pgSz w:w="11906" w:h="16838"/>
          <w:pgMar w:top="1440" w:right="1800" w:bottom="1440" w:left="1800" w:header="851" w:footer="992" w:gutter="0"/>
          <w:cols w:space="425"/>
          <w:docGrid w:type="lines" w:linePitch="326"/>
        </w:sectPr>
      </w:pPr>
    </w:p>
    <w:p w:rsidR="00C40440" w:rsidRDefault="00C40440" w:rsidP="00C40440">
      <w:pPr>
        <w:tabs>
          <w:tab w:val="left" w:pos="8640"/>
        </w:tabs>
        <w:spacing w:line="480" w:lineRule="exact"/>
        <w:ind w:rightChars="-2" w:right="-5" w:firstLineChars="200" w:firstLine="562"/>
        <w:jc w:val="center"/>
        <w:rPr>
          <w:rFonts w:ascii="宋体" w:eastAsia="宋体" w:hAnsi="宋体" w:cs="宋体"/>
          <w:color w:val="000000"/>
          <w:sz w:val="30"/>
          <w:szCs w:val="30"/>
        </w:rPr>
      </w:pPr>
      <w:r>
        <w:rPr>
          <w:rFonts w:ascii="宋体" w:eastAsia="宋体" w:hAnsi="宋体" w:hint="eastAsia"/>
          <w:b/>
          <w:color w:val="000000" w:themeColor="text1"/>
          <w:sz w:val="28"/>
          <w:szCs w:val="28"/>
        </w:rPr>
        <w:lastRenderedPageBreak/>
        <w:t>2021年各市混凝土设计能力、实际产量情况</w:t>
      </w:r>
    </w:p>
    <w:p w:rsidR="00C40440" w:rsidRDefault="00C40440" w:rsidP="00C40440">
      <w:pPr>
        <w:ind w:rightChars="35" w:right="84"/>
        <w:jc w:val="center"/>
        <w:rPr>
          <w:rFonts w:ascii="宋体" w:eastAsia="宋体" w:hAnsi="宋体"/>
          <w:color w:val="FF0000"/>
          <w:sz w:val="28"/>
          <w:szCs w:val="28"/>
          <w:shd w:val="clear" w:color="auto" w:fill="FFFFFF"/>
        </w:rPr>
        <w:sectPr w:rsidR="00C40440" w:rsidSect="00C40440">
          <w:pgSz w:w="16838" w:h="11906" w:orient="landscape"/>
          <w:pgMar w:top="1800" w:right="1440" w:bottom="1800" w:left="1440" w:header="851" w:footer="992" w:gutter="0"/>
          <w:cols w:space="425"/>
          <w:docGrid w:type="lines" w:linePitch="326"/>
        </w:sectPr>
      </w:pPr>
      <w:r w:rsidRPr="009E1ECC">
        <w:rPr>
          <w:rFonts w:ascii="宋体" w:eastAsia="宋体" w:hAnsi="宋体"/>
          <w:noProof/>
          <w:color w:val="FF0000"/>
          <w:sz w:val="28"/>
          <w:szCs w:val="28"/>
          <w:shd w:val="clear" w:color="auto" w:fill="FFFFFF"/>
        </w:rPr>
        <w:drawing>
          <wp:inline distT="0" distB="0" distL="0" distR="0">
            <wp:extent cx="7245350" cy="4483100"/>
            <wp:effectExtent l="19050" t="0" r="1270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76B88" w:rsidRDefault="004D6FF0" w:rsidP="00C40440">
      <w:pPr>
        <w:spacing w:line="580" w:lineRule="exact"/>
        <w:ind w:firstLineChars="150" w:firstLine="482"/>
        <w:rPr>
          <w:rFonts w:ascii="黑体" w:eastAsia="黑体" w:hAnsi="黑体"/>
          <w:b/>
          <w:color w:val="000000"/>
          <w:sz w:val="32"/>
          <w:szCs w:val="32"/>
        </w:rPr>
      </w:pPr>
      <w:r>
        <w:rPr>
          <w:rFonts w:ascii="黑体" w:eastAsia="黑体" w:hAnsi="黑体" w:hint="eastAsia"/>
          <w:b/>
          <w:color w:val="000000"/>
          <w:sz w:val="32"/>
          <w:szCs w:val="32"/>
        </w:rPr>
        <w:lastRenderedPageBreak/>
        <w:t xml:space="preserve">（三）集团化、集约化、规模化发展愈显突出 </w:t>
      </w:r>
    </w:p>
    <w:p w:rsidR="00676B88" w:rsidRDefault="004D6FF0" w:rsidP="002D14F2">
      <w:pPr>
        <w:pStyle w:val="ac"/>
        <w:spacing w:line="560" w:lineRule="exact"/>
        <w:ind w:firstLineChars="245" w:firstLine="686"/>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rPr>
        <w:t>2021年，又有</w:t>
      </w:r>
      <w:r>
        <w:rPr>
          <w:rFonts w:asciiTheme="minorEastAsia" w:eastAsiaTheme="minorEastAsia" w:hAnsiTheme="minorEastAsia"/>
          <w:color w:val="000000" w:themeColor="text1"/>
          <w:sz w:val="28"/>
        </w:rPr>
        <w:t>一批混凝土强势企业和企业集团，通过一企多站</w:t>
      </w:r>
      <w:r>
        <w:rPr>
          <w:rFonts w:asciiTheme="minorEastAsia" w:eastAsiaTheme="minorEastAsia" w:hAnsiTheme="minorEastAsia" w:hint="eastAsia"/>
          <w:color w:val="000000" w:themeColor="text1"/>
          <w:sz w:val="28"/>
        </w:rPr>
        <w:t>、</w:t>
      </w:r>
      <w:r>
        <w:rPr>
          <w:rFonts w:asciiTheme="minorEastAsia" w:eastAsiaTheme="minorEastAsia" w:hAnsiTheme="minorEastAsia"/>
          <w:color w:val="000000" w:themeColor="text1"/>
          <w:sz w:val="28"/>
        </w:rPr>
        <w:t>收购、兼并</w:t>
      </w:r>
      <w:r>
        <w:rPr>
          <w:rFonts w:asciiTheme="minorEastAsia" w:eastAsiaTheme="minorEastAsia" w:hAnsiTheme="minorEastAsia" w:hint="eastAsia"/>
          <w:color w:val="000000" w:themeColor="text1"/>
          <w:sz w:val="28"/>
        </w:rPr>
        <w:t>或租赁</w:t>
      </w:r>
      <w:r>
        <w:rPr>
          <w:rFonts w:asciiTheme="minorEastAsia" w:eastAsiaTheme="minorEastAsia" w:hAnsiTheme="minorEastAsia"/>
          <w:color w:val="000000" w:themeColor="text1"/>
          <w:sz w:val="28"/>
        </w:rPr>
        <w:t>等形式实现规模经营的目标，成为我省混凝土企业加快发展和增强企业竞争力的</w:t>
      </w:r>
      <w:r>
        <w:rPr>
          <w:rFonts w:asciiTheme="minorEastAsia" w:eastAsiaTheme="minorEastAsia" w:hAnsiTheme="minorEastAsia" w:hint="eastAsia"/>
          <w:color w:val="000000" w:themeColor="text1"/>
          <w:sz w:val="28"/>
        </w:rPr>
        <w:t>新</w:t>
      </w:r>
      <w:r>
        <w:rPr>
          <w:rFonts w:asciiTheme="minorEastAsia" w:eastAsiaTheme="minorEastAsia" w:hAnsiTheme="minorEastAsia"/>
          <w:color w:val="000000" w:themeColor="text1"/>
          <w:sz w:val="28"/>
        </w:rPr>
        <w:t>趋势。</w:t>
      </w:r>
      <w:r>
        <w:rPr>
          <w:rFonts w:asciiTheme="minorEastAsia" w:eastAsiaTheme="minorEastAsia" w:hAnsiTheme="minorEastAsia" w:hint="eastAsia"/>
          <w:color w:val="000000" w:themeColor="text1"/>
          <w:sz w:val="28"/>
          <w:szCs w:val="28"/>
        </w:rPr>
        <w:t>2021年，</w:t>
      </w:r>
      <w:r>
        <w:rPr>
          <w:rFonts w:asciiTheme="minorEastAsia" w:eastAsiaTheme="minorEastAsia" w:hAnsiTheme="minorEastAsia" w:cs="宋体" w:hint="eastAsia"/>
          <w:color w:val="000000" w:themeColor="text1"/>
          <w:sz w:val="28"/>
          <w:szCs w:val="28"/>
        </w:rPr>
        <w:t>全省混凝土供应量300万方以上的企业有8家，100万方以上、300万方以下的企业有 43家，比去年又有增加。 全省</w:t>
      </w:r>
      <w:r>
        <w:rPr>
          <w:rFonts w:asciiTheme="minorEastAsia" w:eastAsiaTheme="minorEastAsia" w:hAnsiTheme="minorEastAsia" w:hint="eastAsia"/>
          <w:color w:val="000000" w:themeColor="text1"/>
          <w:sz w:val="28"/>
          <w:szCs w:val="28"/>
        </w:rPr>
        <w:t>预拌混凝土供应量前30名的企业，合计供应混凝土7917.84万立方米，比上年度增加436万立方米，增幅为5.82%；比5年前的</w:t>
      </w:r>
      <w:r>
        <w:rPr>
          <w:rFonts w:asciiTheme="minorEastAsia" w:eastAsiaTheme="minorEastAsia" w:hAnsiTheme="minorEastAsia"/>
          <w:color w:val="000000" w:themeColor="text1"/>
          <w:sz w:val="28"/>
          <w:szCs w:val="28"/>
        </w:rPr>
        <w:t>2016</w:t>
      </w:r>
      <w:r>
        <w:rPr>
          <w:rFonts w:asciiTheme="minorEastAsia" w:eastAsiaTheme="minorEastAsia" w:hAnsiTheme="minorEastAsia" w:hint="eastAsia"/>
          <w:color w:val="000000" w:themeColor="text1"/>
          <w:sz w:val="28"/>
          <w:szCs w:val="28"/>
        </w:rPr>
        <w:t>年混凝土年供应量前</w:t>
      </w:r>
      <w:r>
        <w:rPr>
          <w:rFonts w:asciiTheme="minorEastAsia" w:eastAsiaTheme="minorEastAsia" w:hAnsiTheme="minorEastAsia"/>
          <w:color w:val="000000" w:themeColor="text1"/>
          <w:sz w:val="28"/>
          <w:szCs w:val="28"/>
        </w:rPr>
        <w:t>30</w:t>
      </w:r>
      <w:r>
        <w:rPr>
          <w:rFonts w:asciiTheme="minorEastAsia" w:eastAsiaTheme="minorEastAsia" w:hAnsiTheme="minorEastAsia" w:hint="eastAsia"/>
          <w:color w:val="000000" w:themeColor="text1"/>
          <w:sz w:val="28"/>
          <w:szCs w:val="28"/>
        </w:rPr>
        <w:t>名的企业（5126万立方米），增加了2791万立方米，增幅翻了0.5倍以上。从地区来看。苏州地区增幅最大，2021年，预拌混凝土供应量达</w:t>
      </w:r>
      <w:r>
        <w:rPr>
          <w:rFonts w:asciiTheme="minorEastAsia" w:eastAsiaTheme="minorEastAsia" w:hAnsiTheme="minorEastAsia" w:cs="宋体" w:hint="eastAsia"/>
          <w:color w:val="000000" w:themeColor="text1"/>
          <w:sz w:val="28"/>
          <w:szCs w:val="28"/>
        </w:rPr>
        <w:t>6339.44</w:t>
      </w:r>
      <w:r>
        <w:rPr>
          <w:rFonts w:asciiTheme="minorEastAsia" w:eastAsiaTheme="minorEastAsia" w:hAnsiTheme="minorEastAsia" w:hint="eastAsia"/>
          <w:color w:val="000000" w:themeColor="text1"/>
          <w:sz w:val="28"/>
          <w:szCs w:val="28"/>
        </w:rPr>
        <w:t>万立方米，比上年度增长12.4%。苏州所属的5个县级市对苏州地区的贡献率达63.5%，其中昆山市的贡献率达18.46%。本部设在昆山的建国混凝土集团有限公司，2021年预拌混凝土供应量达471.84万立方米，占苏州总量的7.44%。徐州诚意商品混凝土有限公司、徐州中联混凝土有限公司和江苏中联铸本混凝土有限公司三家企业合计供应混凝土937.17万立方米。占整个徐州地区供应总量的72.9%。</w:t>
      </w:r>
    </w:p>
    <w:p w:rsidR="00676B88" w:rsidRDefault="004D6FF0">
      <w:pPr>
        <w:spacing w:line="480" w:lineRule="exact"/>
        <w:ind w:firstLineChars="492" w:firstLine="1383"/>
        <w:rPr>
          <w:rFonts w:asciiTheme="minorEastAsia" w:eastAsiaTheme="minorEastAsia" w:hAnsiTheme="minorEastAsia"/>
          <w:color w:val="000000" w:themeColor="text1"/>
          <w:sz w:val="21"/>
          <w:szCs w:val="21"/>
        </w:rPr>
      </w:pPr>
      <w:r>
        <w:rPr>
          <w:rFonts w:asciiTheme="minorEastAsia" w:eastAsiaTheme="minorEastAsia" w:hAnsiTheme="minorEastAsia"/>
          <w:b/>
          <w:color w:val="000000" w:themeColor="text1"/>
          <w:sz w:val="28"/>
          <w:szCs w:val="28"/>
        </w:rPr>
        <w:t>20</w:t>
      </w:r>
      <w:r>
        <w:rPr>
          <w:rFonts w:asciiTheme="minorEastAsia" w:eastAsiaTheme="minorEastAsia" w:hAnsiTheme="minorEastAsia" w:hint="eastAsia"/>
          <w:b/>
          <w:color w:val="000000" w:themeColor="text1"/>
          <w:sz w:val="28"/>
          <w:szCs w:val="28"/>
        </w:rPr>
        <w:t>21年江苏省预拌混凝土供应量前</w:t>
      </w:r>
      <w:r>
        <w:rPr>
          <w:rFonts w:asciiTheme="minorEastAsia" w:eastAsiaTheme="minorEastAsia" w:hAnsiTheme="minorEastAsia"/>
          <w:b/>
          <w:color w:val="000000" w:themeColor="text1"/>
          <w:sz w:val="28"/>
          <w:szCs w:val="28"/>
        </w:rPr>
        <w:t>30</w:t>
      </w:r>
      <w:r>
        <w:rPr>
          <w:rFonts w:asciiTheme="minorEastAsia" w:eastAsiaTheme="minorEastAsia" w:hAnsiTheme="minorEastAsia" w:hint="eastAsia"/>
          <w:b/>
          <w:color w:val="000000" w:themeColor="text1"/>
          <w:sz w:val="28"/>
          <w:szCs w:val="28"/>
        </w:rPr>
        <w:t xml:space="preserve">名企业     </w:t>
      </w:r>
    </w:p>
    <w:tbl>
      <w:tblPr>
        <w:tblpPr w:leftFromText="180" w:rightFromText="180" w:vertAnchor="text" w:tblpXSpec="center" w:tblpY="1"/>
        <w:tblOverlap w:val="never"/>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4819"/>
        <w:gridCol w:w="1985"/>
        <w:gridCol w:w="997"/>
      </w:tblGrid>
      <w:tr w:rsidR="00676B88" w:rsidTr="00DB581C">
        <w:trPr>
          <w:trHeight w:hRule="exact" w:val="454"/>
        </w:trPr>
        <w:tc>
          <w:tcPr>
            <w:tcW w:w="743" w:type="dxa"/>
          </w:tcPr>
          <w:p w:rsidR="00676B88" w:rsidRDefault="004D6FF0">
            <w:pPr>
              <w:spacing w:line="400" w:lineRule="exac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排序</w:t>
            </w:r>
          </w:p>
        </w:tc>
        <w:tc>
          <w:tcPr>
            <w:tcW w:w="4819" w:type="dxa"/>
          </w:tcPr>
          <w:p w:rsidR="00676B88" w:rsidRDefault="004D6FF0">
            <w:pPr>
              <w:spacing w:line="400" w:lineRule="exact"/>
              <w:ind w:leftChars="64" w:left="154" w:firstLineChars="198" w:firstLine="477"/>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企业名称</w:t>
            </w:r>
          </w:p>
        </w:tc>
        <w:tc>
          <w:tcPr>
            <w:tcW w:w="1985" w:type="dxa"/>
          </w:tcPr>
          <w:p w:rsidR="00676B88" w:rsidRDefault="004D6FF0" w:rsidP="00242273">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年产量（万立方</w:t>
            </w:r>
            <w:r w:rsidR="00242273">
              <w:rPr>
                <w:rFonts w:asciiTheme="minorEastAsia" w:eastAsiaTheme="minorEastAsia" w:hAnsiTheme="minorEastAsia" w:hint="eastAsia"/>
                <w:b/>
                <w:color w:val="000000" w:themeColor="text1"/>
                <w:szCs w:val="24"/>
              </w:rPr>
              <w:t>）</w:t>
            </w:r>
            <w:r>
              <w:rPr>
                <w:rFonts w:asciiTheme="minorEastAsia" w:eastAsiaTheme="minorEastAsia" w:hAnsiTheme="minorEastAsia" w:hint="eastAsia"/>
                <w:b/>
                <w:color w:val="000000" w:themeColor="text1"/>
                <w:szCs w:val="24"/>
              </w:rPr>
              <w:t>米</w:t>
            </w:r>
            <w:r>
              <w:rPr>
                <w:rFonts w:asciiTheme="minorEastAsia" w:eastAsiaTheme="minorEastAsia" w:hAnsiTheme="minorEastAsia"/>
                <w:b/>
                <w:color w:val="000000" w:themeColor="text1"/>
                <w:szCs w:val="24"/>
              </w:rPr>
              <w:t>)</w:t>
            </w:r>
          </w:p>
        </w:tc>
        <w:tc>
          <w:tcPr>
            <w:tcW w:w="997" w:type="dxa"/>
          </w:tcPr>
          <w:p w:rsidR="00676B88" w:rsidRDefault="00242273" w:rsidP="00242273">
            <w:pPr>
              <w:spacing w:line="400" w:lineRule="exact"/>
              <w:ind w:firstLineChars="49" w:firstLine="118"/>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备</w:t>
            </w:r>
            <w:r w:rsidR="004D6FF0">
              <w:rPr>
                <w:rFonts w:asciiTheme="minorEastAsia" w:eastAsiaTheme="minorEastAsia" w:hAnsiTheme="minorEastAsia" w:hint="eastAsia"/>
                <w:b/>
                <w:color w:val="000000" w:themeColor="text1"/>
                <w:szCs w:val="24"/>
              </w:rPr>
              <w:t>注</w:t>
            </w:r>
          </w:p>
        </w:tc>
      </w:tr>
      <w:tr w:rsidR="00676B88" w:rsidTr="00DB581C">
        <w:trPr>
          <w:trHeight w:hRule="exact" w:val="454"/>
        </w:trPr>
        <w:tc>
          <w:tcPr>
            <w:tcW w:w="743" w:type="dxa"/>
            <w:vAlign w:val="center"/>
          </w:tcPr>
          <w:p w:rsidR="00676B88" w:rsidRDefault="004D6FF0">
            <w:pPr>
              <w:spacing w:line="400" w:lineRule="exact"/>
              <w:ind w:leftChars="64" w:left="154" w:firstLineChars="49" w:firstLine="118"/>
              <w:rPr>
                <w:rFonts w:asciiTheme="minorEastAsia" w:eastAsiaTheme="minorEastAsia" w:hAnsiTheme="minorEastAsia"/>
                <w:b/>
                <w:color w:val="000000" w:themeColor="text1"/>
                <w:szCs w:val="24"/>
              </w:rPr>
            </w:pPr>
            <w:r>
              <w:rPr>
                <w:rFonts w:asciiTheme="minorEastAsia" w:eastAsiaTheme="minorEastAsia" w:hAnsiTheme="minorEastAsia"/>
                <w:b/>
                <w:color w:val="000000" w:themeColor="text1"/>
                <w:szCs w:val="24"/>
              </w:rPr>
              <w:t>1</w:t>
            </w:r>
          </w:p>
        </w:tc>
        <w:tc>
          <w:tcPr>
            <w:tcW w:w="4819" w:type="dxa"/>
            <w:vAlign w:val="center"/>
          </w:tcPr>
          <w:p w:rsidR="00676B88" w:rsidRDefault="004D6FF0">
            <w:pPr>
              <w:spacing w:line="480" w:lineRule="exact"/>
              <w:ind w:rightChars="-1" w:right="-2"/>
              <w:textAlignment w:val="baseline"/>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南京中联混凝土有限公司</w:t>
            </w:r>
          </w:p>
        </w:tc>
        <w:tc>
          <w:tcPr>
            <w:tcW w:w="1985" w:type="dxa"/>
            <w:vAlign w:val="center"/>
          </w:tcPr>
          <w:p w:rsidR="00676B88" w:rsidRDefault="004D6FF0" w:rsidP="00242273">
            <w:pPr>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921.4</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14站</w:t>
            </w:r>
          </w:p>
        </w:tc>
      </w:tr>
      <w:tr w:rsidR="00676B88" w:rsidTr="00DB581C">
        <w:trPr>
          <w:trHeight w:hRule="exact" w:val="454"/>
        </w:trPr>
        <w:tc>
          <w:tcPr>
            <w:tcW w:w="743" w:type="dxa"/>
            <w:vAlign w:val="center"/>
          </w:tcPr>
          <w:p w:rsidR="00676B88" w:rsidRDefault="004D6FF0">
            <w:pPr>
              <w:spacing w:line="400" w:lineRule="exact"/>
              <w:ind w:leftChars="64" w:left="154" w:firstLineChars="49" w:firstLine="118"/>
              <w:rPr>
                <w:rFonts w:asciiTheme="minorEastAsia" w:eastAsiaTheme="minorEastAsia" w:hAnsiTheme="minorEastAsia"/>
                <w:b/>
                <w:color w:val="000000" w:themeColor="text1"/>
                <w:szCs w:val="24"/>
              </w:rPr>
            </w:pPr>
            <w:r>
              <w:rPr>
                <w:rFonts w:asciiTheme="minorEastAsia" w:eastAsiaTheme="minorEastAsia" w:hAnsiTheme="minorEastAsia"/>
                <w:b/>
                <w:color w:val="000000" w:themeColor="text1"/>
                <w:szCs w:val="24"/>
              </w:rPr>
              <w:t>2</w:t>
            </w:r>
          </w:p>
        </w:tc>
        <w:tc>
          <w:tcPr>
            <w:tcW w:w="4819" w:type="dxa"/>
            <w:vAlign w:val="center"/>
          </w:tcPr>
          <w:p w:rsidR="00676B88" w:rsidRDefault="004D6FF0">
            <w:pPr>
              <w:spacing w:line="480" w:lineRule="exact"/>
              <w:ind w:rightChars="-1" w:right="-2"/>
              <w:textAlignment w:val="baseline"/>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徐州诚意商品混凝土有限公司</w:t>
            </w:r>
          </w:p>
        </w:tc>
        <w:tc>
          <w:tcPr>
            <w:tcW w:w="1985" w:type="dxa"/>
            <w:vAlign w:val="center"/>
          </w:tcPr>
          <w:p w:rsidR="00676B88" w:rsidRDefault="004D6FF0" w:rsidP="00242273">
            <w:pPr>
              <w:jc w:val="center"/>
              <w:rPr>
                <w:rFonts w:asciiTheme="minorEastAsia" w:eastAsiaTheme="minorEastAsia" w:hAnsiTheme="minorEastAsia"/>
                <w:color w:val="000000" w:themeColor="text1"/>
                <w:szCs w:val="24"/>
                <w:u w:val="single"/>
              </w:rPr>
            </w:pPr>
            <w:r>
              <w:rPr>
                <w:rFonts w:asciiTheme="minorEastAsia" w:eastAsiaTheme="minorEastAsia" w:hAnsiTheme="minorEastAsia" w:cs="宋体" w:hint="eastAsia"/>
                <w:color w:val="000000" w:themeColor="text1"/>
                <w:szCs w:val="24"/>
              </w:rPr>
              <w:t>683.97</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6站</w:t>
            </w:r>
          </w:p>
        </w:tc>
      </w:tr>
      <w:tr w:rsidR="00676B88" w:rsidTr="00DB581C">
        <w:trPr>
          <w:trHeight w:hRule="exact" w:val="454"/>
        </w:trPr>
        <w:tc>
          <w:tcPr>
            <w:tcW w:w="743" w:type="dxa"/>
            <w:vAlign w:val="center"/>
          </w:tcPr>
          <w:p w:rsidR="00676B88" w:rsidRDefault="004D6FF0">
            <w:pPr>
              <w:spacing w:line="400" w:lineRule="exact"/>
              <w:ind w:leftChars="64" w:left="154" w:firstLineChars="49" w:firstLine="118"/>
              <w:rPr>
                <w:rFonts w:asciiTheme="minorEastAsia" w:eastAsiaTheme="minorEastAsia" w:hAnsiTheme="minorEastAsia"/>
                <w:b/>
                <w:color w:val="000000" w:themeColor="text1"/>
                <w:szCs w:val="24"/>
              </w:rPr>
            </w:pPr>
            <w:r>
              <w:rPr>
                <w:rFonts w:asciiTheme="minorEastAsia" w:eastAsiaTheme="minorEastAsia" w:hAnsiTheme="minorEastAsia"/>
                <w:b/>
                <w:color w:val="000000" w:themeColor="text1"/>
                <w:szCs w:val="24"/>
              </w:rPr>
              <w:t>3</w:t>
            </w:r>
          </w:p>
        </w:tc>
        <w:tc>
          <w:tcPr>
            <w:tcW w:w="4819" w:type="dxa"/>
            <w:vAlign w:val="center"/>
          </w:tcPr>
          <w:p w:rsidR="00676B88" w:rsidRDefault="004D6FF0" w:rsidP="00F62B36">
            <w:pPr>
              <w:spacing w:line="480" w:lineRule="exact"/>
              <w:ind w:leftChars="-51" w:left="-122" w:rightChars="-1" w:right="-2" w:firstLineChars="49" w:firstLine="118"/>
              <w:textAlignment w:val="baseline"/>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建国混凝土集团有限公司(苏州)</w:t>
            </w:r>
          </w:p>
        </w:tc>
        <w:tc>
          <w:tcPr>
            <w:tcW w:w="1985" w:type="dxa"/>
            <w:vAlign w:val="center"/>
          </w:tcPr>
          <w:p w:rsidR="00676B88" w:rsidRDefault="004D6FF0" w:rsidP="00242273">
            <w:pPr>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471.84</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7站</w:t>
            </w:r>
          </w:p>
        </w:tc>
      </w:tr>
      <w:tr w:rsidR="00676B88" w:rsidTr="00DB581C">
        <w:trPr>
          <w:trHeight w:hRule="exact" w:val="454"/>
        </w:trPr>
        <w:tc>
          <w:tcPr>
            <w:tcW w:w="743" w:type="dxa"/>
            <w:vAlign w:val="center"/>
          </w:tcPr>
          <w:p w:rsidR="00676B88" w:rsidRDefault="004D6FF0">
            <w:pPr>
              <w:spacing w:line="400" w:lineRule="exact"/>
              <w:ind w:leftChars="64" w:left="154" w:firstLineChars="49" w:firstLine="118"/>
              <w:rPr>
                <w:rFonts w:asciiTheme="minorEastAsia" w:eastAsiaTheme="minorEastAsia" w:hAnsiTheme="minorEastAsia"/>
                <w:b/>
                <w:color w:val="000000" w:themeColor="text1"/>
                <w:szCs w:val="24"/>
              </w:rPr>
            </w:pPr>
            <w:r>
              <w:rPr>
                <w:rFonts w:asciiTheme="minorEastAsia" w:eastAsiaTheme="minorEastAsia" w:hAnsiTheme="minorEastAsia"/>
                <w:b/>
                <w:color w:val="000000" w:themeColor="text1"/>
                <w:szCs w:val="24"/>
              </w:rPr>
              <w:t>4</w:t>
            </w:r>
          </w:p>
        </w:tc>
        <w:tc>
          <w:tcPr>
            <w:tcW w:w="4819" w:type="dxa"/>
            <w:vAlign w:val="center"/>
          </w:tcPr>
          <w:p w:rsidR="00676B88" w:rsidRDefault="004D6FF0">
            <w:pPr>
              <w:spacing w:line="480" w:lineRule="exact"/>
              <w:ind w:rightChars="-1" w:right="-2"/>
              <w:textAlignment w:val="baseline"/>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江苏双龙混凝土集团有限公司(南京)</w:t>
            </w:r>
          </w:p>
        </w:tc>
        <w:tc>
          <w:tcPr>
            <w:tcW w:w="1985" w:type="dxa"/>
            <w:vAlign w:val="center"/>
          </w:tcPr>
          <w:p w:rsidR="00676B88" w:rsidRDefault="004D6FF0" w:rsidP="00242273">
            <w:pPr>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460</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6站</w:t>
            </w:r>
          </w:p>
        </w:tc>
      </w:tr>
      <w:tr w:rsidR="00676B88" w:rsidTr="00DB581C">
        <w:trPr>
          <w:trHeight w:hRule="exact" w:val="454"/>
        </w:trPr>
        <w:tc>
          <w:tcPr>
            <w:tcW w:w="743" w:type="dxa"/>
            <w:vAlign w:val="center"/>
          </w:tcPr>
          <w:p w:rsidR="00676B88" w:rsidRDefault="004D6FF0">
            <w:pPr>
              <w:spacing w:line="400" w:lineRule="exact"/>
              <w:ind w:leftChars="64" w:left="154" w:firstLineChars="49" w:firstLine="118"/>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5</w:t>
            </w:r>
          </w:p>
        </w:tc>
        <w:tc>
          <w:tcPr>
            <w:tcW w:w="4819" w:type="dxa"/>
            <w:vAlign w:val="center"/>
          </w:tcPr>
          <w:p w:rsidR="00676B88" w:rsidRDefault="004D6FF0">
            <w:pPr>
              <w:spacing w:line="480" w:lineRule="exact"/>
              <w:ind w:rightChars="-1" w:right="-2"/>
              <w:textAlignment w:val="baseline"/>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苏州申昆联合混凝土有限公司</w:t>
            </w:r>
          </w:p>
        </w:tc>
        <w:tc>
          <w:tcPr>
            <w:tcW w:w="1985" w:type="dxa"/>
            <w:vAlign w:val="center"/>
          </w:tcPr>
          <w:p w:rsidR="00676B88" w:rsidRDefault="004D6FF0" w:rsidP="00242273">
            <w:pPr>
              <w:spacing w:line="480" w:lineRule="exact"/>
              <w:ind w:rightChars="-2" w:right="-5"/>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387.32</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6站</w:t>
            </w:r>
          </w:p>
        </w:tc>
      </w:tr>
      <w:tr w:rsidR="00676B88" w:rsidTr="00DB581C">
        <w:trPr>
          <w:trHeight w:hRule="exact" w:val="454"/>
        </w:trPr>
        <w:tc>
          <w:tcPr>
            <w:tcW w:w="743" w:type="dxa"/>
            <w:vAlign w:val="center"/>
          </w:tcPr>
          <w:p w:rsidR="00676B88" w:rsidRDefault="004D6FF0">
            <w:pPr>
              <w:spacing w:line="400" w:lineRule="exact"/>
              <w:ind w:leftChars="64" w:left="154" w:firstLineChars="49" w:firstLine="118"/>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6</w:t>
            </w:r>
          </w:p>
        </w:tc>
        <w:tc>
          <w:tcPr>
            <w:tcW w:w="4819" w:type="dxa"/>
            <w:vAlign w:val="center"/>
          </w:tcPr>
          <w:p w:rsidR="00676B88" w:rsidRDefault="004D6FF0">
            <w:pPr>
              <w:spacing w:line="480" w:lineRule="exact"/>
              <w:ind w:rightChars="-1" w:right="-2"/>
              <w:textAlignment w:val="baseline"/>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南京旭程混凝土投资管理有限公司</w:t>
            </w:r>
          </w:p>
        </w:tc>
        <w:tc>
          <w:tcPr>
            <w:tcW w:w="1985" w:type="dxa"/>
            <w:vAlign w:val="center"/>
          </w:tcPr>
          <w:p w:rsidR="00676B88" w:rsidRDefault="004D6FF0" w:rsidP="00242273">
            <w:pPr>
              <w:spacing w:line="480" w:lineRule="exact"/>
              <w:ind w:rightChars="-2" w:right="-5"/>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377</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4站</w:t>
            </w:r>
          </w:p>
        </w:tc>
      </w:tr>
      <w:tr w:rsidR="00676B88" w:rsidTr="00DB581C">
        <w:trPr>
          <w:trHeight w:hRule="exact" w:val="454"/>
        </w:trPr>
        <w:tc>
          <w:tcPr>
            <w:tcW w:w="743" w:type="dxa"/>
            <w:vAlign w:val="center"/>
          </w:tcPr>
          <w:p w:rsidR="00676B88" w:rsidRDefault="004D6FF0">
            <w:pPr>
              <w:spacing w:line="400" w:lineRule="exact"/>
              <w:ind w:leftChars="64" w:left="154" w:firstLineChars="49" w:firstLine="118"/>
              <w:rPr>
                <w:rFonts w:asciiTheme="minorEastAsia" w:eastAsiaTheme="minorEastAsia" w:hAnsiTheme="minorEastAsia"/>
                <w:b/>
                <w:color w:val="000000" w:themeColor="text1"/>
                <w:szCs w:val="24"/>
              </w:rPr>
            </w:pPr>
            <w:r>
              <w:rPr>
                <w:rFonts w:asciiTheme="minorEastAsia" w:eastAsiaTheme="minorEastAsia" w:hAnsiTheme="minorEastAsia"/>
                <w:b/>
                <w:color w:val="000000" w:themeColor="text1"/>
                <w:szCs w:val="24"/>
              </w:rPr>
              <w:t>7</w:t>
            </w:r>
          </w:p>
        </w:tc>
        <w:tc>
          <w:tcPr>
            <w:tcW w:w="4819" w:type="dxa"/>
            <w:vAlign w:val="center"/>
          </w:tcPr>
          <w:p w:rsidR="00676B88" w:rsidRDefault="004D6FF0">
            <w:pPr>
              <w:spacing w:line="480" w:lineRule="exact"/>
              <w:ind w:rightChars="-1" w:right="-2"/>
              <w:textAlignment w:val="baseline"/>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淮安市华石建材有限公司</w:t>
            </w:r>
          </w:p>
        </w:tc>
        <w:tc>
          <w:tcPr>
            <w:tcW w:w="1985" w:type="dxa"/>
            <w:vAlign w:val="center"/>
          </w:tcPr>
          <w:p w:rsidR="00676B88" w:rsidRDefault="004D6FF0" w:rsidP="00242273">
            <w:pPr>
              <w:spacing w:line="480" w:lineRule="exact"/>
              <w:ind w:rightChars="-2" w:right="-5"/>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331</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5站</w:t>
            </w:r>
          </w:p>
        </w:tc>
      </w:tr>
      <w:tr w:rsidR="00676B88" w:rsidTr="00DB581C">
        <w:trPr>
          <w:trHeight w:hRule="exact" w:val="454"/>
        </w:trPr>
        <w:tc>
          <w:tcPr>
            <w:tcW w:w="743" w:type="dxa"/>
            <w:vAlign w:val="center"/>
          </w:tcPr>
          <w:p w:rsidR="00676B88" w:rsidRDefault="004D6FF0">
            <w:pPr>
              <w:spacing w:line="400" w:lineRule="exact"/>
              <w:ind w:leftChars="64" w:left="154" w:firstLineChars="49" w:firstLine="118"/>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8</w:t>
            </w:r>
          </w:p>
        </w:tc>
        <w:tc>
          <w:tcPr>
            <w:tcW w:w="4819" w:type="dxa"/>
          </w:tcPr>
          <w:p w:rsidR="00676B88" w:rsidRDefault="004D6FF0">
            <w:pPr>
              <w:spacing w:line="400" w:lineRule="exact"/>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江苏中建商品混凝土有限公司（南京）</w:t>
            </w:r>
          </w:p>
        </w:tc>
        <w:tc>
          <w:tcPr>
            <w:tcW w:w="1985"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310</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5站</w:t>
            </w:r>
          </w:p>
        </w:tc>
      </w:tr>
      <w:tr w:rsidR="00676B88" w:rsidTr="00DB581C">
        <w:trPr>
          <w:trHeight w:hRule="exact" w:val="454"/>
        </w:trPr>
        <w:tc>
          <w:tcPr>
            <w:tcW w:w="743" w:type="dxa"/>
            <w:vAlign w:val="center"/>
          </w:tcPr>
          <w:p w:rsidR="00676B88" w:rsidRDefault="004D6FF0">
            <w:pPr>
              <w:spacing w:line="400" w:lineRule="exact"/>
              <w:ind w:leftChars="64" w:left="154" w:firstLineChars="49" w:firstLine="118"/>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lastRenderedPageBreak/>
              <w:t>9</w:t>
            </w:r>
          </w:p>
        </w:tc>
        <w:tc>
          <w:tcPr>
            <w:tcW w:w="4819" w:type="dxa"/>
            <w:vAlign w:val="center"/>
          </w:tcPr>
          <w:p w:rsidR="00676B88" w:rsidRDefault="004D6FF0">
            <w:pPr>
              <w:spacing w:line="480" w:lineRule="exact"/>
              <w:ind w:rightChars="-1" w:right="-2"/>
              <w:textAlignment w:val="baseline"/>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江苏中鼎建材集团有限公司</w:t>
            </w:r>
          </w:p>
        </w:tc>
        <w:tc>
          <w:tcPr>
            <w:tcW w:w="1985" w:type="dxa"/>
            <w:vAlign w:val="center"/>
          </w:tcPr>
          <w:p w:rsidR="00676B88" w:rsidRDefault="004D6FF0" w:rsidP="00242273">
            <w:pPr>
              <w:spacing w:line="480" w:lineRule="exact"/>
              <w:ind w:rightChars="-2" w:right="-5"/>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292</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5站</w:t>
            </w:r>
          </w:p>
        </w:tc>
      </w:tr>
      <w:tr w:rsidR="00676B88" w:rsidTr="00DB581C">
        <w:trPr>
          <w:trHeight w:hRule="exact" w:val="454"/>
        </w:trPr>
        <w:tc>
          <w:tcPr>
            <w:tcW w:w="743" w:type="dxa"/>
            <w:vAlign w:val="center"/>
          </w:tcPr>
          <w:p w:rsidR="00676B88" w:rsidRDefault="004D6FF0">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10</w:t>
            </w:r>
          </w:p>
        </w:tc>
        <w:tc>
          <w:tcPr>
            <w:tcW w:w="4819" w:type="dxa"/>
            <w:vAlign w:val="center"/>
          </w:tcPr>
          <w:p w:rsidR="00676B88" w:rsidRDefault="004D6FF0">
            <w:pPr>
              <w:spacing w:line="480" w:lineRule="exact"/>
              <w:ind w:rightChars="-1" w:right="-2"/>
              <w:textAlignment w:val="baseline"/>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苏州南方混凝土有限公司</w:t>
            </w:r>
          </w:p>
        </w:tc>
        <w:tc>
          <w:tcPr>
            <w:tcW w:w="1985" w:type="dxa"/>
            <w:vAlign w:val="center"/>
          </w:tcPr>
          <w:p w:rsidR="00676B88" w:rsidRDefault="004D6FF0" w:rsidP="00242273">
            <w:pPr>
              <w:spacing w:line="480" w:lineRule="exact"/>
              <w:ind w:rightChars="-2" w:right="-5"/>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288.32</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3站</w:t>
            </w:r>
          </w:p>
        </w:tc>
      </w:tr>
      <w:tr w:rsidR="00676B88" w:rsidTr="00DB581C">
        <w:trPr>
          <w:trHeight w:hRule="exact" w:val="454"/>
        </w:trPr>
        <w:tc>
          <w:tcPr>
            <w:tcW w:w="743" w:type="dxa"/>
            <w:vAlign w:val="center"/>
          </w:tcPr>
          <w:p w:rsidR="00676B88" w:rsidRDefault="004D6FF0">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11</w:t>
            </w:r>
          </w:p>
        </w:tc>
        <w:tc>
          <w:tcPr>
            <w:tcW w:w="4819" w:type="dxa"/>
            <w:vAlign w:val="center"/>
          </w:tcPr>
          <w:p w:rsidR="00676B88" w:rsidRDefault="004D6FF0">
            <w:pPr>
              <w:spacing w:line="480" w:lineRule="exact"/>
              <w:ind w:rightChars="-1" w:right="-2"/>
              <w:textAlignment w:val="baseline"/>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徐州中联混凝土有限公司</w:t>
            </w:r>
          </w:p>
        </w:tc>
        <w:tc>
          <w:tcPr>
            <w:tcW w:w="1985" w:type="dxa"/>
            <w:vAlign w:val="center"/>
          </w:tcPr>
          <w:p w:rsidR="00676B88" w:rsidRDefault="004D6FF0" w:rsidP="00242273">
            <w:pPr>
              <w:spacing w:line="480" w:lineRule="exact"/>
              <w:ind w:rightChars="-2" w:right="-5"/>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268</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6站</w:t>
            </w:r>
          </w:p>
        </w:tc>
      </w:tr>
      <w:tr w:rsidR="00676B88" w:rsidTr="00DB581C">
        <w:trPr>
          <w:trHeight w:hRule="exact" w:val="454"/>
        </w:trPr>
        <w:tc>
          <w:tcPr>
            <w:tcW w:w="743" w:type="dxa"/>
            <w:vAlign w:val="center"/>
          </w:tcPr>
          <w:p w:rsidR="00676B88" w:rsidRDefault="004D6FF0">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12</w:t>
            </w:r>
          </w:p>
        </w:tc>
        <w:tc>
          <w:tcPr>
            <w:tcW w:w="4819" w:type="dxa"/>
            <w:vAlign w:val="center"/>
          </w:tcPr>
          <w:p w:rsidR="00676B88" w:rsidRDefault="004D6FF0">
            <w:pPr>
              <w:spacing w:line="480" w:lineRule="exact"/>
              <w:ind w:rightChars="-1" w:right="-2"/>
              <w:textAlignment w:val="baseline"/>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上海建工材料有限公司南京分公司</w:t>
            </w:r>
          </w:p>
        </w:tc>
        <w:tc>
          <w:tcPr>
            <w:tcW w:w="1985" w:type="dxa"/>
            <w:vAlign w:val="center"/>
          </w:tcPr>
          <w:p w:rsidR="00676B88" w:rsidRDefault="004D6FF0" w:rsidP="00242273">
            <w:pPr>
              <w:spacing w:line="480" w:lineRule="exact"/>
              <w:ind w:rightChars="-2" w:right="-5"/>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232</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6站</w:t>
            </w:r>
          </w:p>
        </w:tc>
      </w:tr>
      <w:tr w:rsidR="00676B88" w:rsidTr="00DB581C">
        <w:trPr>
          <w:trHeight w:hRule="exact" w:val="454"/>
        </w:trPr>
        <w:tc>
          <w:tcPr>
            <w:tcW w:w="743" w:type="dxa"/>
            <w:vAlign w:val="center"/>
          </w:tcPr>
          <w:p w:rsidR="00676B88" w:rsidRDefault="004D6FF0">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13</w:t>
            </w:r>
          </w:p>
        </w:tc>
        <w:tc>
          <w:tcPr>
            <w:tcW w:w="4819" w:type="dxa"/>
          </w:tcPr>
          <w:p w:rsidR="00676B88" w:rsidRDefault="004D6FF0">
            <w:pPr>
              <w:spacing w:line="400" w:lineRule="exact"/>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江苏联鑫建材有限公司（盐城）</w:t>
            </w:r>
          </w:p>
        </w:tc>
        <w:tc>
          <w:tcPr>
            <w:tcW w:w="1985"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227</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3站</w:t>
            </w:r>
          </w:p>
        </w:tc>
      </w:tr>
      <w:tr w:rsidR="00676B88" w:rsidTr="00DB581C">
        <w:trPr>
          <w:trHeight w:hRule="exact" w:val="454"/>
        </w:trPr>
        <w:tc>
          <w:tcPr>
            <w:tcW w:w="743" w:type="dxa"/>
            <w:vAlign w:val="center"/>
          </w:tcPr>
          <w:p w:rsidR="00676B88" w:rsidRDefault="004D6FF0">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14</w:t>
            </w:r>
          </w:p>
        </w:tc>
        <w:tc>
          <w:tcPr>
            <w:tcW w:w="4819" w:type="dxa"/>
          </w:tcPr>
          <w:p w:rsidR="00676B88" w:rsidRDefault="004D6FF0">
            <w:pPr>
              <w:spacing w:line="400" w:lineRule="exac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苏州市星火混凝土有限公司</w:t>
            </w:r>
          </w:p>
        </w:tc>
        <w:tc>
          <w:tcPr>
            <w:tcW w:w="1985"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200</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5条线</w:t>
            </w:r>
          </w:p>
        </w:tc>
      </w:tr>
      <w:tr w:rsidR="00676B88" w:rsidTr="00DB581C">
        <w:trPr>
          <w:trHeight w:hRule="exact" w:val="454"/>
        </w:trPr>
        <w:tc>
          <w:tcPr>
            <w:tcW w:w="743" w:type="dxa"/>
            <w:vAlign w:val="center"/>
          </w:tcPr>
          <w:p w:rsidR="00676B88" w:rsidRDefault="004D6FF0">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15</w:t>
            </w:r>
          </w:p>
        </w:tc>
        <w:tc>
          <w:tcPr>
            <w:tcW w:w="4819" w:type="dxa"/>
          </w:tcPr>
          <w:p w:rsidR="00676B88" w:rsidRDefault="004D6FF0">
            <w:pPr>
              <w:spacing w:line="400" w:lineRule="exact"/>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苏州工业园区永盛混凝土制品有限公司</w:t>
            </w:r>
          </w:p>
        </w:tc>
        <w:tc>
          <w:tcPr>
            <w:tcW w:w="1985"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189.63</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3站</w:t>
            </w:r>
          </w:p>
        </w:tc>
      </w:tr>
      <w:tr w:rsidR="00676B88" w:rsidTr="00DB581C">
        <w:trPr>
          <w:trHeight w:hRule="exact" w:val="454"/>
        </w:trPr>
        <w:tc>
          <w:tcPr>
            <w:tcW w:w="743" w:type="dxa"/>
            <w:vAlign w:val="center"/>
          </w:tcPr>
          <w:p w:rsidR="00676B88" w:rsidRDefault="004D6FF0">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16</w:t>
            </w:r>
          </w:p>
        </w:tc>
        <w:tc>
          <w:tcPr>
            <w:tcW w:w="4819" w:type="dxa"/>
          </w:tcPr>
          <w:p w:rsidR="00676B88" w:rsidRDefault="004D6FF0">
            <w:pPr>
              <w:spacing w:line="400" w:lineRule="exac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无锡金鑫商品混凝土有限公司</w:t>
            </w:r>
          </w:p>
        </w:tc>
        <w:tc>
          <w:tcPr>
            <w:tcW w:w="1985"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185</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2站</w:t>
            </w:r>
          </w:p>
        </w:tc>
      </w:tr>
      <w:tr w:rsidR="00676B88" w:rsidTr="00DB581C">
        <w:trPr>
          <w:trHeight w:hRule="exact" w:val="454"/>
        </w:trPr>
        <w:tc>
          <w:tcPr>
            <w:tcW w:w="743" w:type="dxa"/>
            <w:vAlign w:val="center"/>
          </w:tcPr>
          <w:p w:rsidR="00676B88" w:rsidRDefault="004D6FF0">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16</w:t>
            </w:r>
          </w:p>
        </w:tc>
        <w:tc>
          <w:tcPr>
            <w:tcW w:w="4819" w:type="dxa"/>
          </w:tcPr>
          <w:p w:rsidR="00676B88" w:rsidRDefault="004D6FF0">
            <w:pPr>
              <w:spacing w:line="400" w:lineRule="exact"/>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江苏广亚高新材料有限公司(常州)</w:t>
            </w:r>
          </w:p>
        </w:tc>
        <w:tc>
          <w:tcPr>
            <w:tcW w:w="1985"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185</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2站</w:t>
            </w:r>
          </w:p>
        </w:tc>
      </w:tr>
      <w:tr w:rsidR="00676B88" w:rsidTr="00DB581C">
        <w:trPr>
          <w:trHeight w:hRule="exact" w:val="454"/>
        </w:trPr>
        <w:tc>
          <w:tcPr>
            <w:tcW w:w="743" w:type="dxa"/>
            <w:vAlign w:val="center"/>
          </w:tcPr>
          <w:p w:rsidR="00676B88" w:rsidRDefault="004D6FF0">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18</w:t>
            </w:r>
          </w:p>
        </w:tc>
        <w:tc>
          <w:tcPr>
            <w:tcW w:w="4819" w:type="dxa"/>
          </w:tcPr>
          <w:p w:rsidR="00676B88" w:rsidRDefault="004D6FF0">
            <w:pPr>
              <w:spacing w:line="400" w:lineRule="exact"/>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南京兰叶建设集团公司</w:t>
            </w:r>
          </w:p>
        </w:tc>
        <w:tc>
          <w:tcPr>
            <w:tcW w:w="1985"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183</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2站</w:t>
            </w:r>
          </w:p>
        </w:tc>
      </w:tr>
      <w:tr w:rsidR="00676B88" w:rsidTr="00DB581C">
        <w:trPr>
          <w:trHeight w:hRule="exact" w:val="454"/>
        </w:trPr>
        <w:tc>
          <w:tcPr>
            <w:tcW w:w="743" w:type="dxa"/>
            <w:vAlign w:val="center"/>
          </w:tcPr>
          <w:p w:rsidR="00676B88" w:rsidRDefault="004D6FF0">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19</w:t>
            </w:r>
          </w:p>
        </w:tc>
        <w:tc>
          <w:tcPr>
            <w:tcW w:w="4819" w:type="dxa"/>
          </w:tcPr>
          <w:p w:rsidR="00676B88" w:rsidRDefault="004D6FF0">
            <w:pPr>
              <w:spacing w:line="400" w:lineRule="exact"/>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巨凝集团有限公司（常州）</w:t>
            </w:r>
          </w:p>
        </w:tc>
        <w:tc>
          <w:tcPr>
            <w:tcW w:w="1985"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180</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2站</w:t>
            </w:r>
          </w:p>
        </w:tc>
      </w:tr>
      <w:tr w:rsidR="00676B88" w:rsidTr="00DB581C">
        <w:trPr>
          <w:trHeight w:hRule="exact" w:val="454"/>
        </w:trPr>
        <w:tc>
          <w:tcPr>
            <w:tcW w:w="743" w:type="dxa"/>
            <w:vAlign w:val="center"/>
          </w:tcPr>
          <w:p w:rsidR="00676B88" w:rsidRDefault="004D6FF0">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19</w:t>
            </w:r>
          </w:p>
        </w:tc>
        <w:tc>
          <w:tcPr>
            <w:tcW w:w="4819" w:type="dxa"/>
          </w:tcPr>
          <w:p w:rsidR="00676B88" w:rsidRDefault="004D6FF0">
            <w:pPr>
              <w:spacing w:line="400" w:lineRule="exact"/>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南京广兰建材科技有限公司</w:t>
            </w:r>
          </w:p>
        </w:tc>
        <w:tc>
          <w:tcPr>
            <w:tcW w:w="1985"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180</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1站</w:t>
            </w:r>
          </w:p>
        </w:tc>
      </w:tr>
      <w:tr w:rsidR="00676B88" w:rsidTr="00DB581C">
        <w:trPr>
          <w:trHeight w:hRule="exact" w:val="454"/>
        </w:trPr>
        <w:tc>
          <w:tcPr>
            <w:tcW w:w="743" w:type="dxa"/>
            <w:vAlign w:val="center"/>
          </w:tcPr>
          <w:p w:rsidR="00676B88" w:rsidRDefault="004D6FF0">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21</w:t>
            </w:r>
          </w:p>
        </w:tc>
        <w:tc>
          <w:tcPr>
            <w:tcW w:w="4819" w:type="dxa"/>
          </w:tcPr>
          <w:p w:rsidR="00676B88" w:rsidRDefault="004D6FF0">
            <w:pPr>
              <w:spacing w:line="400" w:lineRule="exact"/>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国产实业(苏州)新兴建材有限公司</w:t>
            </w:r>
          </w:p>
        </w:tc>
        <w:tc>
          <w:tcPr>
            <w:tcW w:w="1985"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175</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3站</w:t>
            </w:r>
          </w:p>
        </w:tc>
      </w:tr>
      <w:tr w:rsidR="00676B88" w:rsidTr="00DB581C">
        <w:trPr>
          <w:trHeight w:hRule="exact" w:val="454"/>
        </w:trPr>
        <w:tc>
          <w:tcPr>
            <w:tcW w:w="743" w:type="dxa"/>
            <w:vAlign w:val="center"/>
          </w:tcPr>
          <w:p w:rsidR="00676B88" w:rsidRDefault="004D6FF0">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22</w:t>
            </w:r>
          </w:p>
        </w:tc>
        <w:tc>
          <w:tcPr>
            <w:tcW w:w="4819" w:type="dxa"/>
            <w:vAlign w:val="center"/>
          </w:tcPr>
          <w:p w:rsidR="00676B88" w:rsidRDefault="004D6FF0">
            <w:pPr>
              <w:spacing w:line="480" w:lineRule="exact"/>
              <w:ind w:leftChars="-117" w:left="-281" w:rightChars="-1" w:right="-2"/>
              <w:textAlignment w:val="baseline"/>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 xml:space="preserve">  江苏中联铸本混凝土有限公司(徐州)</w:t>
            </w:r>
          </w:p>
        </w:tc>
        <w:tc>
          <w:tcPr>
            <w:tcW w:w="1985" w:type="dxa"/>
            <w:vAlign w:val="center"/>
          </w:tcPr>
          <w:p w:rsidR="00676B88" w:rsidRDefault="004D6FF0" w:rsidP="00242273">
            <w:pPr>
              <w:spacing w:line="480" w:lineRule="exact"/>
              <w:ind w:rightChars="-2" w:right="-5"/>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174.8</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7站</w:t>
            </w:r>
          </w:p>
        </w:tc>
      </w:tr>
      <w:tr w:rsidR="00676B88" w:rsidTr="00DB581C">
        <w:trPr>
          <w:trHeight w:hRule="exact" w:val="454"/>
        </w:trPr>
        <w:tc>
          <w:tcPr>
            <w:tcW w:w="743" w:type="dxa"/>
            <w:vAlign w:val="center"/>
          </w:tcPr>
          <w:p w:rsidR="00676B88" w:rsidRDefault="004D6FF0">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23</w:t>
            </w:r>
          </w:p>
        </w:tc>
        <w:tc>
          <w:tcPr>
            <w:tcW w:w="4819" w:type="dxa"/>
          </w:tcPr>
          <w:p w:rsidR="00676B88" w:rsidRDefault="004D6FF0">
            <w:pPr>
              <w:spacing w:line="400" w:lineRule="exac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南通建设混凝土有限公司</w:t>
            </w:r>
          </w:p>
        </w:tc>
        <w:tc>
          <w:tcPr>
            <w:tcW w:w="1985"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163</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2站3</w:t>
            </w:r>
          </w:p>
        </w:tc>
      </w:tr>
      <w:tr w:rsidR="00676B88" w:rsidTr="00DB581C">
        <w:trPr>
          <w:trHeight w:hRule="exact" w:val="454"/>
        </w:trPr>
        <w:tc>
          <w:tcPr>
            <w:tcW w:w="743" w:type="dxa"/>
            <w:vAlign w:val="center"/>
          </w:tcPr>
          <w:p w:rsidR="00676B88" w:rsidRDefault="004D6FF0">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23</w:t>
            </w:r>
          </w:p>
        </w:tc>
        <w:tc>
          <w:tcPr>
            <w:tcW w:w="4819" w:type="dxa"/>
          </w:tcPr>
          <w:p w:rsidR="00676B88" w:rsidRDefault="004D6FF0">
            <w:pPr>
              <w:spacing w:line="400" w:lineRule="exact"/>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苏州爱德混凝土制品有限公司</w:t>
            </w:r>
          </w:p>
        </w:tc>
        <w:tc>
          <w:tcPr>
            <w:tcW w:w="1985"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163</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2站</w:t>
            </w:r>
          </w:p>
        </w:tc>
      </w:tr>
      <w:tr w:rsidR="00676B88" w:rsidTr="00DB581C">
        <w:trPr>
          <w:trHeight w:hRule="exact" w:val="454"/>
        </w:trPr>
        <w:tc>
          <w:tcPr>
            <w:tcW w:w="743" w:type="dxa"/>
            <w:vAlign w:val="center"/>
          </w:tcPr>
          <w:p w:rsidR="00676B88" w:rsidRDefault="004D6FF0">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25</w:t>
            </w:r>
          </w:p>
        </w:tc>
        <w:tc>
          <w:tcPr>
            <w:tcW w:w="4819" w:type="dxa"/>
          </w:tcPr>
          <w:p w:rsidR="00676B88" w:rsidRDefault="004D6FF0">
            <w:pPr>
              <w:spacing w:line="400" w:lineRule="exact"/>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南京宁新普迪混凝土有限公司</w:t>
            </w:r>
          </w:p>
        </w:tc>
        <w:tc>
          <w:tcPr>
            <w:tcW w:w="1985"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150</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3站</w:t>
            </w:r>
          </w:p>
        </w:tc>
      </w:tr>
      <w:tr w:rsidR="00676B88" w:rsidTr="00DB581C">
        <w:trPr>
          <w:trHeight w:hRule="exact" w:val="454"/>
        </w:trPr>
        <w:tc>
          <w:tcPr>
            <w:tcW w:w="743" w:type="dxa"/>
            <w:vAlign w:val="center"/>
          </w:tcPr>
          <w:p w:rsidR="00676B88" w:rsidRDefault="004D6FF0">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26</w:t>
            </w:r>
          </w:p>
        </w:tc>
        <w:tc>
          <w:tcPr>
            <w:tcW w:w="4819" w:type="dxa"/>
          </w:tcPr>
          <w:p w:rsidR="00676B88" w:rsidRDefault="004D6FF0">
            <w:pPr>
              <w:spacing w:line="400" w:lineRule="exac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禾海(苏州)新型建材有限公司</w:t>
            </w:r>
          </w:p>
        </w:tc>
        <w:tc>
          <w:tcPr>
            <w:tcW w:w="1985"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144.96</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2条线</w:t>
            </w:r>
          </w:p>
        </w:tc>
      </w:tr>
      <w:tr w:rsidR="00676B88" w:rsidTr="00DB581C">
        <w:trPr>
          <w:trHeight w:hRule="exact" w:val="454"/>
        </w:trPr>
        <w:tc>
          <w:tcPr>
            <w:tcW w:w="743" w:type="dxa"/>
            <w:vAlign w:val="center"/>
          </w:tcPr>
          <w:p w:rsidR="00676B88" w:rsidRDefault="004D6FF0">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27</w:t>
            </w:r>
          </w:p>
        </w:tc>
        <w:tc>
          <w:tcPr>
            <w:tcW w:w="4819" w:type="dxa"/>
            <w:vAlign w:val="center"/>
          </w:tcPr>
          <w:p w:rsidR="00676B88" w:rsidRDefault="004D6FF0">
            <w:pPr>
              <w:spacing w:line="480" w:lineRule="exact"/>
              <w:ind w:rightChars="-1" w:right="-2"/>
              <w:textAlignment w:val="baseline"/>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南通大明混凝土有限公司</w:t>
            </w:r>
          </w:p>
        </w:tc>
        <w:tc>
          <w:tcPr>
            <w:tcW w:w="1985" w:type="dxa"/>
            <w:vAlign w:val="center"/>
          </w:tcPr>
          <w:p w:rsidR="00676B88" w:rsidRDefault="004D6FF0" w:rsidP="00242273">
            <w:pPr>
              <w:spacing w:line="480" w:lineRule="exact"/>
              <w:ind w:rightChars="-2" w:right="-5"/>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144.2</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3站</w:t>
            </w:r>
          </w:p>
        </w:tc>
      </w:tr>
      <w:tr w:rsidR="00676B88" w:rsidTr="00DB581C">
        <w:trPr>
          <w:trHeight w:hRule="exact" w:val="454"/>
        </w:trPr>
        <w:tc>
          <w:tcPr>
            <w:tcW w:w="743" w:type="dxa"/>
            <w:vAlign w:val="center"/>
          </w:tcPr>
          <w:p w:rsidR="00676B88" w:rsidRDefault="004D6FF0">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28</w:t>
            </w:r>
          </w:p>
        </w:tc>
        <w:tc>
          <w:tcPr>
            <w:tcW w:w="4819" w:type="dxa"/>
            <w:vAlign w:val="center"/>
          </w:tcPr>
          <w:p w:rsidR="00676B88" w:rsidRDefault="004D6FF0">
            <w:pPr>
              <w:spacing w:line="480" w:lineRule="exact"/>
              <w:ind w:rightChars="-1" w:right="-2"/>
              <w:textAlignment w:val="baseline"/>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常熟市常龙混凝土有限公司</w:t>
            </w:r>
          </w:p>
        </w:tc>
        <w:tc>
          <w:tcPr>
            <w:tcW w:w="1985" w:type="dxa"/>
            <w:vAlign w:val="center"/>
          </w:tcPr>
          <w:p w:rsidR="00676B88" w:rsidRDefault="004D6FF0" w:rsidP="00242273">
            <w:pPr>
              <w:spacing w:line="480" w:lineRule="exact"/>
              <w:ind w:rightChars="-2" w:right="-5"/>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135.4</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3站</w:t>
            </w:r>
          </w:p>
        </w:tc>
      </w:tr>
      <w:tr w:rsidR="00676B88" w:rsidTr="00DB581C">
        <w:trPr>
          <w:trHeight w:hRule="exact" w:val="454"/>
        </w:trPr>
        <w:tc>
          <w:tcPr>
            <w:tcW w:w="743" w:type="dxa"/>
            <w:vAlign w:val="center"/>
          </w:tcPr>
          <w:p w:rsidR="00676B88" w:rsidRDefault="004D6FF0">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29</w:t>
            </w:r>
          </w:p>
        </w:tc>
        <w:tc>
          <w:tcPr>
            <w:tcW w:w="4819" w:type="dxa"/>
          </w:tcPr>
          <w:p w:rsidR="00676B88" w:rsidRDefault="004D6FF0">
            <w:pPr>
              <w:spacing w:line="400" w:lineRule="exac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昆山市润建建设实业有限公司</w:t>
            </w:r>
          </w:p>
        </w:tc>
        <w:tc>
          <w:tcPr>
            <w:tcW w:w="1985"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118.6</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2站</w:t>
            </w:r>
          </w:p>
        </w:tc>
      </w:tr>
      <w:tr w:rsidR="00676B88" w:rsidTr="00DB581C">
        <w:trPr>
          <w:trHeight w:hRule="exact" w:val="454"/>
        </w:trPr>
        <w:tc>
          <w:tcPr>
            <w:tcW w:w="743" w:type="dxa"/>
            <w:vAlign w:val="center"/>
          </w:tcPr>
          <w:p w:rsidR="00676B88" w:rsidRDefault="004D6FF0">
            <w:pPr>
              <w:spacing w:line="400" w:lineRule="exac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30</w:t>
            </w:r>
          </w:p>
        </w:tc>
        <w:tc>
          <w:tcPr>
            <w:tcW w:w="4819" w:type="dxa"/>
          </w:tcPr>
          <w:p w:rsidR="00676B88" w:rsidRDefault="004D6FF0">
            <w:pPr>
              <w:spacing w:line="400" w:lineRule="exac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苏州远华混凝土有限公司</w:t>
            </w:r>
          </w:p>
        </w:tc>
        <w:tc>
          <w:tcPr>
            <w:tcW w:w="1985"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115</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3条线</w:t>
            </w:r>
          </w:p>
        </w:tc>
      </w:tr>
      <w:tr w:rsidR="00676B88" w:rsidTr="00DB581C">
        <w:trPr>
          <w:trHeight w:hRule="exact" w:val="454"/>
        </w:trPr>
        <w:tc>
          <w:tcPr>
            <w:tcW w:w="5562" w:type="dxa"/>
            <w:gridSpan w:val="2"/>
            <w:vAlign w:val="center"/>
          </w:tcPr>
          <w:p w:rsidR="00676B88" w:rsidRDefault="004D6FF0" w:rsidP="00A069B4">
            <w:pPr>
              <w:spacing w:line="400" w:lineRule="exact"/>
              <w:ind w:firstLineChars="784" w:firstLine="1889"/>
              <w:rPr>
                <w:rFonts w:asciiTheme="minorEastAsia" w:eastAsiaTheme="minorEastAsia" w:hAnsiTheme="minorEastAsia"/>
                <w:color w:val="000000" w:themeColor="text1"/>
                <w:szCs w:val="24"/>
              </w:rPr>
            </w:pPr>
            <w:r>
              <w:rPr>
                <w:rFonts w:asciiTheme="minorEastAsia" w:eastAsiaTheme="minorEastAsia" w:hAnsiTheme="minorEastAsia" w:hint="eastAsia"/>
                <w:b/>
                <w:color w:val="000000" w:themeColor="text1"/>
                <w:szCs w:val="24"/>
              </w:rPr>
              <w:t>合      计</w:t>
            </w:r>
          </w:p>
        </w:tc>
        <w:tc>
          <w:tcPr>
            <w:tcW w:w="1985"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7917.84</w:t>
            </w:r>
          </w:p>
        </w:tc>
        <w:tc>
          <w:tcPr>
            <w:tcW w:w="997" w:type="dxa"/>
          </w:tcPr>
          <w:p w:rsidR="00676B88" w:rsidRDefault="004D6FF0" w:rsidP="00242273">
            <w:pPr>
              <w:spacing w:line="40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120站</w:t>
            </w:r>
          </w:p>
        </w:tc>
      </w:tr>
    </w:tbl>
    <w:p w:rsidR="00676B88" w:rsidRPr="002D14F2" w:rsidRDefault="004D6FF0" w:rsidP="002D14F2">
      <w:pPr>
        <w:pStyle w:val="ac"/>
        <w:spacing w:line="580" w:lineRule="exact"/>
        <w:ind w:firstLineChars="98" w:firstLine="315"/>
        <w:rPr>
          <w:rFonts w:ascii="黑体" w:eastAsia="黑体" w:hAnsi="黑体"/>
          <w:b/>
          <w:color w:val="000000"/>
          <w:sz w:val="32"/>
          <w:szCs w:val="32"/>
        </w:rPr>
      </w:pPr>
      <w:r w:rsidRPr="002D14F2">
        <w:rPr>
          <w:rFonts w:ascii="黑体" w:eastAsia="黑体" w:hAnsi="黑体" w:hint="eastAsia"/>
          <w:b/>
          <w:color w:val="000000"/>
          <w:sz w:val="32"/>
          <w:szCs w:val="32"/>
        </w:rPr>
        <w:t>（四）</w:t>
      </w:r>
      <w:r w:rsidR="00C40440">
        <w:rPr>
          <w:rFonts w:ascii="黑体" w:eastAsia="黑体" w:hAnsi="黑体" w:hint="eastAsia"/>
          <w:b/>
          <w:color w:val="000000"/>
          <w:sz w:val="32"/>
          <w:szCs w:val="32"/>
        </w:rPr>
        <w:t>中、高强度混凝土在建设工程中的应用比例大幅度增加</w:t>
      </w:r>
    </w:p>
    <w:p w:rsidR="00676B88" w:rsidRDefault="004D6FF0" w:rsidP="002D14F2">
      <w:pPr>
        <w:spacing w:line="56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2021年，C35及以上级别混凝土的供应量首次超过C30级别混凝土，</w:t>
      </w:r>
      <w:r>
        <w:rPr>
          <w:rFonts w:asciiTheme="minorEastAsia" w:eastAsiaTheme="minorEastAsia" w:hAnsiTheme="minorEastAsia"/>
          <w:color w:val="000000" w:themeColor="text1"/>
          <w:sz w:val="28"/>
          <w:szCs w:val="28"/>
        </w:rPr>
        <w:t>占</w:t>
      </w:r>
      <w:r>
        <w:rPr>
          <w:rFonts w:asciiTheme="minorEastAsia" w:eastAsiaTheme="minorEastAsia" w:hAnsiTheme="minorEastAsia" w:hint="eastAsia"/>
          <w:color w:val="000000" w:themeColor="text1"/>
          <w:sz w:val="28"/>
          <w:szCs w:val="28"/>
        </w:rPr>
        <w:t>全年各级别混凝土供应总量的45.43</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，超过C30混凝土9.11个百分点。江苏双龙混凝土集团有限公司，2021年C35及以上级别混凝土的供应量已超过供应总量的60%。南京中联混凝土有限公司，</w:t>
      </w:r>
      <w:r>
        <w:rPr>
          <w:rFonts w:asciiTheme="minorEastAsia" w:eastAsiaTheme="minorEastAsia" w:hAnsiTheme="minorEastAsia" w:hint="eastAsia"/>
          <w:color w:val="000000" w:themeColor="text1"/>
          <w:sz w:val="28"/>
          <w:szCs w:val="28"/>
        </w:rPr>
        <w:lastRenderedPageBreak/>
        <w:t>全年销售混凝土921.4万立方米，其中C35及以上级别混凝土的供应量为462.3万立方米，超过销售量的50%。</w:t>
      </w:r>
    </w:p>
    <w:p w:rsidR="00676B88" w:rsidRPr="002D14F2" w:rsidRDefault="004D6FF0" w:rsidP="002D14F2">
      <w:pPr>
        <w:spacing w:line="580" w:lineRule="exact"/>
        <w:ind w:firstLineChars="98" w:firstLine="315"/>
        <w:rPr>
          <w:rFonts w:ascii="黑体" w:eastAsia="黑体" w:hAnsi="黑体"/>
          <w:b/>
          <w:color w:val="000000"/>
          <w:sz w:val="32"/>
          <w:szCs w:val="32"/>
        </w:rPr>
      </w:pPr>
      <w:r w:rsidRPr="002D14F2">
        <w:rPr>
          <w:rFonts w:ascii="黑体" w:eastAsia="黑体" w:hAnsi="黑体" w:hint="eastAsia"/>
          <w:b/>
          <w:color w:val="000000"/>
          <w:sz w:val="32"/>
          <w:szCs w:val="32"/>
        </w:rPr>
        <w:t>（五）信息化管理普及率扩大，信息化向数字化转型升级正在逐步</w:t>
      </w:r>
      <w:r w:rsidR="00C40440">
        <w:rPr>
          <w:rFonts w:ascii="黑体" w:eastAsia="黑体" w:hAnsi="黑体" w:hint="eastAsia"/>
          <w:b/>
          <w:color w:val="000000"/>
          <w:sz w:val="32"/>
          <w:szCs w:val="32"/>
        </w:rPr>
        <w:t>推进</w:t>
      </w:r>
    </w:p>
    <w:p w:rsidR="00676B88" w:rsidRDefault="004D6FF0" w:rsidP="002D14F2">
      <w:pPr>
        <w:spacing w:line="560" w:lineRule="exact"/>
        <w:ind w:firstLineChars="200" w:firstLine="560"/>
        <w:rPr>
          <w:rFonts w:asciiTheme="minorEastAsia" w:eastAsiaTheme="minorEastAsia" w:hAnsiTheme="minorEastAsia"/>
          <w:b/>
          <w:color w:val="000000" w:themeColor="text1"/>
          <w:sz w:val="32"/>
          <w:szCs w:val="32"/>
        </w:rPr>
      </w:pPr>
      <w:r>
        <w:rPr>
          <w:rFonts w:asciiTheme="minorEastAsia" w:eastAsiaTheme="minorEastAsia" w:hAnsiTheme="minorEastAsia" w:cs="宋体" w:hint="eastAsia"/>
          <w:color w:val="000000" w:themeColor="text1"/>
          <w:sz w:val="28"/>
          <w:szCs w:val="28"/>
        </w:rPr>
        <w:t>据统计，全省已配置</w:t>
      </w:r>
      <w:r>
        <w:rPr>
          <w:rFonts w:asciiTheme="minorEastAsia" w:eastAsiaTheme="minorEastAsia" w:hAnsiTheme="minorEastAsia" w:hint="eastAsia"/>
          <w:color w:val="000000" w:themeColor="text1"/>
          <w:sz w:val="28"/>
          <w:szCs w:val="28"/>
        </w:rPr>
        <w:t>信息化管理系统（ERP)的企业</w:t>
      </w:r>
      <w:r>
        <w:rPr>
          <w:rFonts w:asciiTheme="minorEastAsia" w:eastAsiaTheme="minorEastAsia" w:hAnsiTheme="minorEastAsia" w:cs="宋体" w:hint="eastAsia"/>
          <w:color w:val="000000" w:themeColor="text1"/>
          <w:sz w:val="28"/>
          <w:szCs w:val="28"/>
        </w:rPr>
        <w:t>共401家，占全省企业总数的37.8%，比上年提高了20%以上。建国混凝土集团有限公司、江苏中鼎建材集团等一批企业，信息化向数字化转型升级工作正在向前推进。信息化向数字化转型升级试点工作将逐步扩大。</w:t>
      </w:r>
    </w:p>
    <w:p w:rsidR="00676B88" w:rsidRPr="002D14F2" w:rsidRDefault="004D6FF0" w:rsidP="002D14F2">
      <w:pPr>
        <w:spacing w:line="580" w:lineRule="exact"/>
        <w:ind w:firstLineChars="98" w:firstLine="315"/>
        <w:rPr>
          <w:rFonts w:ascii="黑体" w:eastAsia="黑体" w:hAnsi="黑体"/>
          <w:b/>
          <w:color w:val="000000"/>
          <w:sz w:val="32"/>
          <w:szCs w:val="32"/>
        </w:rPr>
      </w:pPr>
      <w:r w:rsidRPr="002D14F2">
        <w:rPr>
          <w:rFonts w:ascii="黑体" w:eastAsia="黑体" w:hAnsi="黑体" w:hint="eastAsia"/>
          <w:b/>
          <w:color w:val="000000"/>
          <w:sz w:val="32"/>
          <w:szCs w:val="32"/>
        </w:rPr>
        <w:t>（六）</w:t>
      </w:r>
      <w:r w:rsidR="00C40440">
        <w:rPr>
          <w:rFonts w:ascii="黑体" w:eastAsia="黑体" w:hAnsi="黑体" w:hint="eastAsia"/>
          <w:b/>
          <w:color w:val="000000"/>
          <w:sz w:val="32"/>
          <w:szCs w:val="32"/>
        </w:rPr>
        <w:t>企业技改投入巨大</w:t>
      </w:r>
    </w:p>
    <w:p w:rsidR="004A010E" w:rsidRDefault="004D6FF0" w:rsidP="00EE2E4B">
      <w:pPr>
        <w:spacing w:line="560" w:lineRule="exact"/>
        <w:ind w:firstLineChars="200" w:firstLine="560"/>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2021年，企业技改投入主要用于以下三个方面： 1、搅拌站环保升级或改造，以满足环保验收、考核或经常性的检查等要求。2、搅拌运输车小换大，标配车大幅度增加，以满足限载要求；汽车泵更新或置换，以满足节能减排的要求。3、试验、检测能力的提升，以满足各品种混凝土的试验、检测要求。据不完全统计，全行业用于技改投入的资金高达93.8亿元，占全年销售收入的5.99%。</w:t>
      </w:r>
    </w:p>
    <w:p w:rsidR="00EE2E4B" w:rsidRDefault="004D6FF0" w:rsidP="00EE2E4B">
      <w:pPr>
        <w:spacing w:line="560" w:lineRule="exact"/>
        <w:ind w:firstLineChars="98" w:firstLine="315"/>
        <w:rPr>
          <w:rFonts w:ascii="黑体" w:eastAsia="黑体" w:hAnsi="黑体"/>
          <w:b/>
          <w:color w:val="000000"/>
          <w:sz w:val="32"/>
          <w:szCs w:val="32"/>
        </w:rPr>
      </w:pPr>
      <w:r w:rsidRPr="002D14F2">
        <w:rPr>
          <w:rFonts w:ascii="黑体" w:eastAsia="黑体" w:hAnsi="黑体" w:hint="eastAsia"/>
          <w:b/>
          <w:color w:val="000000"/>
          <w:sz w:val="32"/>
          <w:szCs w:val="32"/>
        </w:rPr>
        <w:t>（七）2021年我省混凝土行业面临的主要问题</w:t>
      </w:r>
    </w:p>
    <w:p w:rsidR="00676B88" w:rsidRPr="00EE2E4B" w:rsidRDefault="004D6FF0" w:rsidP="00EE2E4B">
      <w:pPr>
        <w:spacing w:line="560" w:lineRule="exact"/>
        <w:ind w:firstLineChars="196" w:firstLine="549"/>
        <w:rPr>
          <w:rFonts w:ascii="黑体" w:eastAsia="黑体" w:hAnsi="黑体"/>
          <w:b/>
          <w:color w:val="000000"/>
          <w:sz w:val="32"/>
          <w:szCs w:val="32"/>
        </w:rPr>
      </w:pPr>
      <w:r>
        <w:rPr>
          <w:rFonts w:asciiTheme="minorEastAsia" w:eastAsiaTheme="minorEastAsia" w:hAnsiTheme="minorEastAsia" w:hint="eastAsia"/>
          <w:color w:val="000000" w:themeColor="text1"/>
          <w:sz w:val="28"/>
          <w:szCs w:val="28"/>
        </w:rPr>
        <w:t>2021年处在新冠疫情反复出现，经济复苏困难等大环境影响下，我省混凝土行业面临的主要问题如下：</w:t>
      </w:r>
    </w:p>
    <w:p w:rsidR="00676B88" w:rsidRDefault="004D6FF0" w:rsidP="002D14F2">
      <w:pPr>
        <w:spacing w:line="560" w:lineRule="exact"/>
        <w:ind w:firstLine="480"/>
        <w:rPr>
          <w:rFonts w:asciiTheme="minorEastAsia" w:eastAsiaTheme="minorEastAsia" w:hAnsiTheme="minorEastAsia"/>
          <w:color w:val="000000" w:themeColor="text1"/>
          <w:sz w:val="28"/>
          <w:szCs w:val="28"/>
        </w:rPr>
      </w:pPr>
      <w:r w:rsidRPr="00535158">
        <w:rPr>
          <w:rFonts w:ascii="宋体" w:eastAsia="宋体" w:hAnsi="宋体" w:hint="eastAsia"/>
          <w:b/>
          <w:bCs/>
          <w:color w:val="000000" w:themeColor="text1"/>
          <w:sz w:val="28"/>
          <w:szCs w:val="28"/>
        </w:rPr>
        <w:t>1、水泥价格高位震荡。</w:t>
      </w:r>
      <w:r>
        <w:rPr>
          <w:rFonts w:asciiTheme="minorEastAsia" w:eastAsiaTheme="minorEastAsia" w:hAnsiTheme="minorEastAsia" w:hint="eastAsia"/>
          <w:color w:val="000000" w:themeColor="text1"/>
          <w:sz w:val="28"/>
          <w:szCs w:val="28"/>
        </w:rPr>
        <w:t>2021年水泥行业经历了起起落落。</w:t>
      </w:r>
      <w:r>
        <w:rPr>
          <w:rFonts w:asciiTheme="minorEastAsia" w:eastAsiaTheme="minorEastAsia" w:hAnsiTheme="minorEastAsia"/>
          <w:color w:val="000000" w:themeColor="text1"/>
          <w:sz w:val="28"/>
          <w:szCs w:val="28"/>
        </w:rPr>
        <w:t>3-5月份，水泥市场量价齐升；6、7月份水泥产量</w:t>
      </w:r>
      <w:r>
        <w:rPr>
          <w:rFonts w:asciiTheme="minorEastAsia" w:eastAsiaTheme="minorEastAsia" w:hAnsiTheme="minorEastAsia" w:hint="eastAsia"/>
          <w:color w:val="000000" w:themeColor="text1"/>
          <w:sz w:val="28"/>
          <w:szCs w:val="28"/>
        </w:rPr>
        <w:t>和</w:t>
      </w:r>
      <w:r>
        <w:rPr>
          <w:rFonts w:asciiTheme="minorEastAsia" w:eastAsiaTheme="minorEastAsia" w:hAnsiTheme="minorEastAsia"/>
          <w:color w:val="000000" w:themeColor="text1"/>
          <w:sz w:val="28"/>
          <w:szCs w:val="28"/>
        </w:rPr>
        <w:t>价格均走低；8月开始直到10月，水泥价格</w:t>
      </w:r>
      <w:r>
        <w:rPr>
          <w:rFonts w:asciiTheme="minorEastAsia" w:eastAsiaTheme="minorEastAsia" w:hAnsiTheme="minorEastAsia" w:hint="eastAsia"/>
          <w:color w:val="000000" w:themeColor="text1"/>
          <w:sz w:val="28"/>
          <w:szCs w:val="28"/>
        </w:rPr>
        <w:t>又</w:t>
      </w:r>
      <w:r>
        <w:rPr>
          <w:rFonts w:asciiTheme="minorEastAsia" w:eastAsiaTheme="minorEastAsia" w:hAnsiTheme="minorEastAsia"/>
          <w:color w:val="000000" w:themeColor="text1"/>
          <w:sz w:val="28"/>
          <w:szCs w:val="28"/>
        </w:rPr>
        <w:t>一路高涨，并在10月创下了2021</w:t>
      </w:r>
      <w:r w:rsidR="00DF0458">
        <w:rPr>
          <w:rFonts w:asciiTheme="minorEastAsia" w:eastAsiaTheme="minorEastAsia" w:hAnsiTheme="minorEastAsia"/>
          <w:color w:val="000000" w:themeColor="text1"/>
          <w:sz w:val="28"/>
          <w:szCs w:val="28"/>
        </w:rPr>
        <w:t>年水泥价格最高位</w:t>
      </w:r>
      <w:r w:rsidR="00DF0458">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11、12月虽然水泥价格下滑</w:t>
      </w:r>
      <w:r>
        <w:rPr>
          <w:rFonts w:asciiTheme="minorEastAsia" w:eastAsiaTheme="minorEastAsia" w:hAnsiTheme="minorEastAsia" w:hint="eastAsia"/>
          <w:color w:val="000000" w:themeColor="text1"/>
          <w:sz w:val="28"/>
          <w:szCs w:val="28"/>
        </w:rPr>
        <w:t>，但整体仍高于2020年同期水平。</w:t>
      </w:r>
    </w:p>
    <w:p w:rsidR="00676B88" w:rsidRDefault="004D6FF0" w:rsidP="002D14F2">
      <w:pPr>
        <w:spacing w:line="560" w:lineRule="exact"/>
        <w:ind w:firstLine="480"/>
        <w:rPr>
          <w:rFonts w:asciiTheme="minorEastAsia" w:eastAsiaTheme="minorEastAsia" w:hAnsiTheme="minorEastAsia"/>
          <w:color w:val="000000" w:themeColor="text1"/>
          <w:sz w:val="28"/>
          <w:szCs w:val="28"/>
        </w:rPr>
      </w:pPr>
      <w:r w:rsidRPr="00535158">
        <w:rPr>
          <w:rFonts w:asciiTheme="minorEastAsia" w:eastAsiaTheme="minorEastAsia" w:hAnsiTheme="minorEastAsia" w:hint="eastAsia"/>
          <w:b/>
          <w:bCs/>
          <w:color w:val="000000" w:themeColor="text1"/>
          <w:sz w:val="28"/>
          <w:szCs w:val="28"/>
        </w:rPr>
        <w:lastRenderedPageBreak/>
        <w:t>2、天然砂石原材料供应依然短缺。</w:t>
      </w:r>
      <w:r>
        <w:rPr>
          <w:rFonts w:asciiTheme="minorEastAsia" w:eastAsiaTheme="minorEastAsia" w:hAnsiTheme="minorEastAsia" w:hint="eastAsia"/>
          <w:color w:val="000000" w:themeColor="text1"/>
          <w:sz w:val="28"/>
          <w:szCs w:val="28"/>
        </w:rPr>
        <w:t>虽然砂石价格运行相对平稳，但保供问题凸显，导致行业生产经营成本显著增加。</w:t>
      </w:r>
    </w:p>
    <w:p w:rsidR="00676B88" w:rsidRDefault="004D6FF0" w:rsidP="002D14F2">
      <w:pPr>
        <w:spacing w:line="560" w:lineRule="exact"/>
        <w:ind w:firstLineChars="200" w:firstLine="562"/>
        <w:jc w:val="both"/>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3、</w:t>
      </w:r>
      <w:r>
        <w:rPr>
          <w:rFonts w:ascii="宋体" w:eastAsia="宋体" w:hAnsi="宋体" w:hint="eastAsia"/>
          <w:b/>
          <w:bCs/>
          <w:color w:val="000000" w:themeColor="text1"/>
          <w:sz w:val="28"/>
          <w:szCs w:val="28"/>
        </w:rPr>
        <w:t>企业的用工成本逐年提高，加上人力资源开发费用，人力资源成本持续攀升。</w:t>
      </w:r>
    </w:p>
    <w:p w:rsidR="00676B88" w:rsidRDefault="004D6FF0" w:rsidP="002D14F2">
      <w:pPr>
        <w:spacing w:line="560" w:lineRule="exact"/>
        <w:ind w:firstLineChars="200" w:firstLine="560"/>
        <w:jc w:val="both"/>
        <w:rPr>
          <w:rFonts w:ascii="宋体" w:eastAsia="宋体" w:hAnsi="宋体"/>
          <w:color w:val="000000" w:themeColor="text1"/>
          <w:sz w:val="28"/>
          <w:szCs w:val="28"/>
        </w:rPr>
      </w:pPr>
      <w:r>
        <w:rPr>
          <w:rFonts w:ascii="宋体" w:eastAsia="宋体" w:hAnsi="宋体" w:hint="eastAsia"/>
          <w:bCs/>
          <w:color w:val="000000" w:themeColor="text1"/>
          <w:sz w:val="28"/>
          <w:szCs w:val="28"/>
        </w:rPr>
        <w:t>2021年，全行业年人均工资：</w:t>
      </w:r>
      <w:r>
        <w:rPr>
          <w:rFonts w:ascii="宋体" w:eastAsia="宋体" w:hAnsi="宋体" w:hint="eastAsia"/>
          <w:color w:val="000000" w:themeColor="text1"/>
          <w:sz w:val="28"/>
          <w:szCs w:val="28"/>
        </w:rPr>
        <w:t>81360元 ，比上年提高1.78%。最高的企业年人均工资19万元，最低的企业年人均33200元。低于5万元的少数企业均在苏北地区。苏南地区人均工资远远高于苏北地区，其中，昆山市全行业年人均工资12.81万元；苏州、南京年人均工资超过9万元，其中，苏州最高的19万元，最低的6万元。南京最高的12.4万元，最低的6.45万元。南通最高的企业年人均工资10.9万元，最低的5万元。</w:t>
      </w:r>
    </w:p>
    <w:p w:rsidR="00676B88" w:rsidRDefault="004D6FF0" w:rsidP="002D14F2">
      <w:pPr>
        <w:spacing w:line="560" w:lineRule="exact"/>
        <w:ind w:firstLineChars="200" w:firstLine="560"/>
        <w:jc w:val="both"/>
        <w:rPr>
          <w:rFonts w:ascii="宋体" w:eastAsia="宋体" w:hAnsi="宋体"/>
          <w:color w:val="000000" w:themeColor="text1"/>
          <w:sz w:val="28"/>
          <w:szCs w:val="28"/>
        </w:rPr>
      </w:pPr>
      <w:r>
        <w:rPr>
          <w:rFonts w:ascii="宋体" w:eastAsia="宋体" w:hAnsi="宋体" w:hint="eastAsia"/>
          <w:color w:val="000000" w:themeColor="text1"/>
          <w:sz w:val="28"/>
          <w:szCs w:val="28"/>
        </w:rPr>
        <w:t>为适应行业发展，很多企业加大人才引进和培养，以满足新技术应用、新产品开发等方面的需要，使人力资源成本持续增加，负担加重。</w:t>
      </w:r>
    </w:p>
    <w:p w:rsidR="00676B88" w:rsidRPr="00CF22C0" w:rsidRDefault="004D6FF0" w:rsidP="00CF22C0">
      <w:pPr>
        <w:spacing w:line="560" w:lineRule="exact"/>
        <w:ind w:leftChars="-100" w:left="-240" w:firstLineChars="300" w:firstLine="843"/>
        <w:rPr>
          <w:rFonts w:ascii="宋体" w:eastAsia="宋体" w:hAnsi="宋体"/>
          <w:b/>
          <w:bCs/>
          <w:color w:val="000000" w:themeColor="text1"/>
          <w:sz w:val="28"/>
          <w:szCs w:val="28"/>
        </w:rPr>
      </w:pPr>
      <w:r w:rsidRPr="00CF22C0">
        <w:rPr>
          <w:rFonts w:ascii="宋体" w:eastAsia="宋体" w:hAnsi="宋体" w:hint="eastAsia"/>
          <w:b/>
          <w:bCs/>
          <w:color w:val="000000" w:themeColor="text1"/>
          <w:sz w:val="28"/>
          <w:szCs w:val="28"/>
        </w:rPr>
        <w:t>4、部分地区，总体需求减弱。</w:t>
      </w:r>
    </w:p>
    <w:p w:rsidR="00676B88" w:rsidRDefault="004D6FF0" w:rsidP="002D14F2">
      <w:pPr>
        <w:spacing w:line="56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2021年各地房地产加强调控力度，房地产投资下滑最快，对混凝土的需求产生较大影响， 苏北的宿迁和苏中的</w:t>
      </w:r>
      <w:r w:rsidR="00F62B36">
        <w:rPr>
          <w:rFonts w:asciiTheme="minorEastAsia" w:eastAsiaTheme="minorEastAsia" w:hAnsiTheme="minorEastAsia" w:hint="eastAsia"/>
          <w:color w:val="000000" w:themeColor="text1"/>
          <w:sz w:val="28"/>
          <w:szCs w:val="28"/>
        </w:rPr>
        <w:t>扬州</w:t>
      </w:r>
      <w:r>
        <w:rPr>
          <w:rFonts w:asciiTheme="minorEastAsia" w:eastAsiaTheme="minorEastAsia" w:hAnsiTheme="minorEastAsia" w:hint="eastAsia"/>
          <w:color w:val="000000" w:themeColor="text1"/>
          <w:sz w:val="28"/>
          <w:szCs w:val="28"/>
        </w:rPr>
        <w:t xml:space="preserve">2021年出现混凝土供应总体下滑的局面。  </w:t>
      </w:r>
    </w:p>
    <w:p w:rsidR="00676B88" w:rsidRDefault="004D6FF0" w:rsidP="002D14F2">
      <w:pPr>
        <w:numPr>
          <w:ilvl w:val="0"/>
          <w:numId w:val="1"/>
        </w:numPr>
        <w:spacing w:line="560" w:lineRule="exact"/>
        <w:ind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信息化管理系统（ERP)尚没有实现全覆盖，地区发展不平衡</w:t>
      </w:r>
      <w:r w:rsidR="00242273">
        <w:rPr>
          <w:rFonts w:asciiTheme="minorEastAsia" w:eastAsiaTheme="minorEastAsia" w:hAnsiTheme="minorEastAsia" w:hint="eastAsia"/>
          <w:b/>
          <w:color w:val="000000" w:themeColor="text1"/>
          <w:sz w:val="28"/>
          <w:szCs w:val="28"/>
        </w:rPr>
        <w:t>。</w:t>
      </w:r>
    </w:p>
    <w:p w:rsidR="00676B88" w:rsidRDefault="004D6FF0" w:rsidP="002D14F2">
      <w:pPr>
        <w:spacing w:line="56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s="宋体" w:hint="eastAsia"/>
          <w:color w:val="000000" w:themeColor="text1"/>
          <w:sz w:val="28"/>
          <w:szCs w:val="28"/>
        </w:rPr>
        <w:t>全省1061家企业中已配置</w:t>
      </w:r>
      <w:r>
        <w:rPr>
          <w:rFonts w:asciiTheme="minorEastAsia" w:eastAsiaTheme="minorEastAsia" w:hAnsiTheme="minorEastAsia" w:hint="eastAsia"/>
          <w:color w:val="000000" w:themeColor="text1"/>
          <w:sz w:val="28"/>
          <w:szCs w:val="28"/>
        </w:rPr>
        <w:t>信息化管理系统（ERP)的企业</w:t>
      </w:r>
      <w:r>
        <w:rPr>
          <w:rFonts w:asciiTheme="minorEastAsia" w:eastAsiaTheme="minorEastAsia" w:hAnsiTheme="minorEastAsia" w:cs="宋体" w:hint="eastAsia"/>
          <w:color w:val="000000" w:themeColor="text1"/>
          <w:sz w:val="28"/>
          <w:szCs w:val="28"/>
        </w:rPr>
        <w:t>401家，占全省企业总数的37.8%。已配置</w:t>
      </w:r>
      <w:r>
        <w:rPr>
          <w:rFonts w:asciiTheme="minorEastAsia" w:eastAsiaTheme="minorEastAsia" w:hAnsiTheme="minorEastAsia" w:hint="eastAsia"/>
          <w:color w:val="000000" w:themeColor="text1"/>
          <w:sz w:val="28"/>
          <w:szCs w:val="28"/>
        </w:rPr>
        <w:t>信息化管理系统（ERP)的企业主要分布在苏南地区，苏北地区还有大批企业尚没有配置该系统。</w:t>
      </w:r>
    </w:p>
    <w:p w:rsidR="00676B88" w:rsidRPr="002D14F2" w:rsidRDefault="004D6FF0" w:rsidP="002D14F2">
      <w:pPr>
        <w:spacing w:line="560" w:lineRule="exact"/>
        <w:ind w:firstLineChars="200" w:firstLine="643"/>
        <w:rPr>
          <w:rFonts w:ascii="黑体" w:eastAsia="黑体" w:hAnsi="黑体"/>
          <w:b/>
          <w:color w:val="000000"/>
          <w:sz w:val="32"/>
          <w:szCs w:val="32"/>
        </w:rPr>
      </w:pPr>
      <w:r w:rsidRPr="002D14F2">
        <w:rPr>
          <w:rFonts w:ascii="黑体" w:eastAsia="黑体" w:hAnsi="黑体" w:hint="eastAsia"/>
          <w:b/>
          <w:color w:val="000000"/>
          <w:sz w:val="32"/>
          <w:szCs w:val="32"/>
        </w:rPr>
        <w:t>三、2022年机遇与挑战并存</w:t>
      </w:r>
    </w:p>
    <w:p w:rsidR="00676B88" w:rsidRDefault="002D14F2" w:rsidP="002D14F2">
      <w:pPr>
        <w:spacing w:line="560" w:lineRule="exact"/>
        <w:ind w:firstLineChars="147" w:firstLine="413"/>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（一）</w:t>
      </w:r>
      <w:r w:rsidR="004D6FF0">
        <w:rPr>
          <w:rFonts w:asciiTheme="minorEastAsia" w:eastAsiaTheme="minorEastAsia" w:hAnsiTheme="minorEastAsia" w:hint="eastAsia"/>
          <w:b/>
          <w:bCs/>
          <w:color w:val="000000" w:themeColor="text1"/>
          <w:sz w:val="28"/>
          <w:szCs w:val="28"/>
        </w:rPr>
        <w:t>机遇</w:t>
      </w:r>
    </w:p>
    <w:p w:rsidR="00676B88" w:rsidRDefault="004D6FF0" w:rsidP="002D14F2">
      <w:pPr>
        <w:spacing w:line="560" w:lineRule="exact"/>
        <w:ind w:rightChars="-62" w:right="-149" w:firstLineChars="150" w:firstLine="420"/>
        <w:jc w:val="both"/>
        <w:rPr>
          <w:rFonts w:ascii="宋体" w:eastAsia="宋体" w:hAnsi="宋体"/>
          <w:sz w:val="28"/>
        </w:rPr>
      </w:pPr>
      <w:r>
        <w:rPr>
          <w:rFonts w:ascii="宋体" w:eastAsia="宋体" w:hAnsi="宋体" w:hint="eastAsia"/>
          <w:sz w:val="28"/>
        </w:rPr>
        <w:lastRenderedPageBreak/>
        <w:t>回顾2021年，面对国际、国内复杂多变的不利因素，中央实施了一系列“保增长、扩内需、调结构、惠民生”计划和措施，加上江苏沿海开发和江苏纳入长三角一体化，给我省混凝土行业带来利好，产量保持增长。</w:t>
      </w:r>
    </w:p>
    <w:p w:rsidR="002D14F2" w:rsidRDefault="004D6FF0" w:rsidP="002D14F2">
      <w:pPr>
        <w:spacing w:line="560" w:lineRule="exact"/>
        <w:ind w:rightChars="-62" w:right="-149" w:firstLineChars="200" w:firstLine="560"/>
        <w:jc w:val="both"/>
        <w:rPr>
          <w:rFonts w:asciiTheme="minorEastAsia" w:eastAsiaTheme="minorEastAsia" w:hAnsiTheme="minorEastAsia"/>
          <w:sz w:val="28"/>
          <w:szCs w:val="28"/>
        </w:rPr>
      </w:pPr>
      <w:r>
        <w:rPr>
          <w:rFonts w:ascii="宋体" w:eastAsia="宋体" w:hAnsi="宋体"/>
          <w:sz w:val="28"/>
        </w:rPr>
        <w:t>展望20</w:t>
      </w:r>
      <w:r>
        <w:rPr>
          <w:rFonts w:ascii="宋体" w:eastAsia="宋体" w:hAnsi="宋体" w:hint="eastAsia"/>
          <w:sz w:val="28"/>
        </w:rPr>
        <w:t xml:space="preserve">22年，国际经济、金融、军事等形势严峻复杂，国内新冠肺炎疫情持续蔓延，给行业发展带来更多不确定性。 </w:t>
      </w:r>
      <w:r>
        <w:rPr>
          <w:rFonts w:asciiTheme="minorEastAsia" w:eastAsiaTheme="minorEastAsia" w:hAnsiTheme="minorEastAsia" w:hint="eastAsia"/>
          <w:sz w:val="28"/>
          <w:szCs w:val="28"/>
        </w:rPr>
        <w:t>机遇和挑战对我们每一个从业者来说，都是一个严峻的考验。</w:t>
      </w:r>
    </w:p>
    <w:p w:rsidR="00676B88" w:rsidRPr="002D14F2" w:rsidRDefault="004D6FF0" w:rsidP="002D14F2">
      <w:pPr>
        <w:spacing w:line="560" w:lineRule="exact"/>
        <w:ind w:rightChars="-62" w:right="-149" w:firstLineChars="200" w:firstLine="560"/>
        <w:jc w:val="both"/>
        <w:rPr>
          <w:rFonts w:asciiTheme="minorEastAsia" w:eastAsiaTheme="minorEastAsia" w:hAnsiTheme="minorEastAsia"/>
          <w:sz w:val="28"/>
          <w:szCs w:val="28"/>
        </w:rPr>
      </w:pPr>
      <w:r>
        <w:rPr>
          <w:rFonts w:ascii="宋体" w:eastAsia="宋体" w:hAnsi="宋体" w:hint="eastAsia"/>
          <w:sz w:val="28"/>
        </w:rPr>
        <w:t>2022年整个行业面临的有利因素：</w:t>
      </w:r>
    </w:p>
    <w:p w:rsidR="00676B88" w:rsidRDefault="004D6FF0" w:rsidP="002D14F2">
      <w:pPr>
        <w:spacing w:line="560" w:lineRule="exact"/>
        <w:ind w:rightChars="-62" w:right="-149" w:firstLineChars="200" w:firstLine="560"/>
        <w:jc w:val="both"/>
        <w:rPr>
          <w:rFonts w:asciiTheme="minorEastAsia" w:eastAsiaTheme="minorEastAsia" w:hAnsiTheme="minorEastAsia"/>
          <w:b/>
          <w:bCs/>
          <w:color w:val="000000" w:themeColor="text1"/>
          <w:sz w:val="28"/>
          <w:szCs w:val="28"/>
        </w:rPr>
      </w:pPr>
      <w:r>
        <w:rPr>
          <w:rFonts w:ascii="宋体" w:eastAsia="宋体" w:hAnsi="宋体" w:hint="eastAsia"/>
          <w:sz w:val="28"/>
        </w:rPr>
        <w:t>1、国家多次重申将继续执行积极的财政政策、适度的货币政策和优惠的税收政策，保持政策的连续性和稳定性，巩固经济企稳回升的势头，无疑是行业保持稳定运行的有力保证。</w:t>
      </w:r>
    </w:p>
    <w:p w:rsidR="002D14F2" w:rsidRDefault="004D6FF0" w:rsidP="002D14F2">
      <w:pPr>
        <w:spacing w:line="560" w:lineRule="exact"/>
        <w:ind w:rightChars="-62" w:right="-149" w:firstLineChars="200" w:firstLine="560"/>
        <w:jc w:val="both"/>
        <w:rPr>
          <w:rFonts w:ascii="宋体" w:eastAsia="宋体" w:hAnsi="宋体" w:cs="宋体"/>
          <w:sz w:val="28"/>
          <w:szCs w:val="28"/>
        </w:rPr>
      </w:pPr>
      <w:r>
        <w:rPr>
          <w:rFonts w:ascii="宋体" w:eastAsia="宋体" w:hAnsi="宋体" w:cs="宋体" w:hint="eastAsia"/>
          <w:sz w:val="28"/>
          <w:szCs w:val="28"/>
        </w:rPr>
        <w:t>2、江苏省有13个地级市，55个市辖区、22个县级市，19个县，行政区划面积10.72万平方公里。2021年，全省总人口8505.4万人</w:t>
      </w:r>
      <w:r w:rsidR="00551930">
        <w:rPr>
          <w:rFonts w:ascii="宋体" w:eastAsia="宋体" w:hAnsi="宋体" w:cs="宋体" w:hint="eastAsia"/>
          <w:sz w:val="28"/>
          <w:szCs w:val="28"/>
        </w:rPr>
        <w:t>，</w:t>
      </w:r>
      <w:r>
        <w:rPr>
          <w:rFonts w:ascii="宋体" w:eastAsia="宋体" w:hAnsi="宋体" w:cs="宋体" w:hint="eastAsia"/>
          <w:sz w:val="28"/>
          <w:szCs w:val="28"/>
        </w:rPr>
        <w:t xml:space="preserve"> GDP11.64万亿元。2021年，江苏城镇化率为73.94%，城镇化率最高的是南京市，达到86.9%；最低的是连云港市，为62.38%。</w:t>
      </w:r>
      <w:r w:rsidR="00551930">
        <w:rPr>
          <w:rFonts w:ascii="宋体" w:eastAsia="宋体" w:hAnsi="宋体" w:cs="宋体" w:hint="eastAsia"/>
          <w:sz w:val="28"/>
          <w:szCs w:val="28"/>
        </w:rPr>
        <w:t>城</w:t>
      </w:r>
      <w:r>
        <w:rPr>
          <w:rFonts w:ascii="宋体" w:eastAsia="宋体" w:hAnsi="宋体" w:cs="宋体" w:hint="eastAsia"/>
          <w:sz w:val="28"/>
          <w:szCs w:val="28"/>
        </w:rPr>
        <w:t>镇化率超过80%的还有苏州和无锡；在70%至80%之间的，分别市镇江市、常州市、扬州市、南通市。苏南、苏中、苏北地区镇化率分别为82.5%、70.54%、64.79%，与2020年相比分别提高0.24个、0.58个、0.69个百分点，区域城镇化水平稳步提升，而且差异在逐步缩小。</w:t>
      </w:r>
      <w:r>
        <w:rPr>
          <w:rFonts w:ascii="宋体" w:eastAsia="宋体" w:hAnsi="宋体" w:cs="宋体" w:hint="eastAsia"/>
          <w:sz w:val="28"/>
          <w:szCs w:val="28"/>
          <w:shd w:val="clear" w:color="auto" w:fill="FFFFFF"/>
        </w:rPr>
        <w:t>推动特色小镇和旅游风情小镇创建；小城镇集中安置区的基础设施建设和公共服务设施配套等，</w:t>
      </w:r>
      <w:r>
        <w:rPr>
          <w:rFonts w:ascii="宋体" w:eastAsia="宋体" w:hAnsi="宋体" w:cs="宋体" w:hint="eastAsia"/>
          <w:sz w:val="28"/>
        </w:rPr>
        <w:t>为混凝土行业发展提供了新的机遇。</w:t>
      </w:r>
    </w:p>
    <w:p w:rsidR="00676B88" w:rsidRPr="002D14F2" w:rsidRDefault="004D6FF0" w:rsidP="002D14F2">
      <w:pPr>
        <w:spacing w:line="560" w:lineRule="exact"/>
        <w:ind w:rightChars="-62" w:right="-149" w:firstLineChars="200" w:firstLine="560"/>
        <w:jc w:val="both"/>
        <w:rPr>
          <w:rFonts w:ascii="宋体" w:eastAsia="宋体" w:hAnsi="宋体" w:cs="宋体"/>
          <w:sz w:val="28"/>
          <w:szCs w:val="28"/>
        </w:rPr>
      </w:pPr>
      <w:r w:rsidRPr="00305334">
        <w:rPr>
          <w:rFonts w:asciiTheme="minorEastAsia" w:eastAsiaTheme="minorEastAsia" w:hAnsiTheme="minorEastAsia" w:hint="eastAsia"/>
          <w:color w:val="000000" w:themeColor="text1"/>
          <w:sz w:val="28"/>
          <w:szCs w:val="28"/>
        </w:rPr>
        <w:t>3、2022年，江苏省重大基本建设项目计划投资5720亿元，较上年增加1343亿元，安排重大项目247个，</w:t>
      </w:r>
      <w:r w:rsidR="00252E77" w:rsidRPr="00305334">
        <w:rPr>
          <w:rFonts w:asciiTheme="minorEastAsia" w:eastAsiaTheme="minorEastAsia" w:hAnsiTheme="minorEastAsia" w:hint="eastAsia"/>
          <w:color w:val="000000" w:themeColor="text1"/>
          <w:sz w:val="28"/>
          <w:szCs w:val="28"/>
        </w:rPr>
        <w:t>其中</w:t>
      </w:r>
      <w:r w:rsidRPr="00305334">
        <w:rPr>
          <w:rFonts w:asciiTheme="minorEastAsia" w:eastAsiaTheme="minorEastAsia" w:hAnsiTheme="minorEastAsia" w:hint="eastAsia"/>
          <w:color w:val="000000" w:themeColor="text1"/>
          <w:sz w:val="28"/>
          <w:szCs w:val="28"/>
        </w:rPr>
        <w:t>实施项目220个，年度</w:t>
      </w:r>
      <w:r w:rsidRPr="00BC085B">
        <w:rPr>
          <w:rFonts w:asciiTheme="minorEastAsia" w:eastAsiaTheme="minorEastAsia" w:hAnsiTheme="minorEastAsia" w:hint="eastAsia"/>
          <w:color w:val="000000" w:themeColor="text1"/>
          <w:sz w:val="28"/>
          <w:szCs w:val="28"/>
        </w:rPr>
        <w:lastRenderedPageBreak/>
        <w:t>投资2015亿元。其中基础设施建设项目89个，年度计划投资316亿元。</w:t>
      </w:r>
      <w:r>
        <w:rPr>
          <w:rFonts w:asciiTheme="minorEastAsia" w:eastAsiaTheme="minorEastAsia" w:hAnsiTheme="minorEastAsia" w:hint="eastAsia"/>
          <w:color w:val="000000" w:themeColor="text1"/>
          <w:sz w:val="28"/>
          <w:szCs w:val="28"/>
        </w:rPr>
        <w:t>对稳定混凝土市场的基本盘形成有力支撑。</w:t>
      </w:r>
    </w:p>
    <w:p w:rsidR="00676B88" w:rsidRDefault="008B3D58" w:rsidP="00535158">
      <w:pPr>
        <w:spacing w:line="560" w:lineRule="exact"/>
        <w:ind w:firstLineChars="149" w:firstLine="419"/>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（二）</w:t>
      </w:r>
      <w:r w:rsidR="004D6FF0">
        <w:rPr>
          <w:rFonts w:asciiTheme="minorEastAsia" w:eastAsiaTheme="minorEastAsia" w:hAnsiTheme="minorEastAsia" w:hint="eastAsia"/>
          <w:b/>
          <w:bCs/>
          <w:color w:val="000000" w:themeColor="text1"/>
          <w:sz w:val="28"/>
          <w:szCs w:val="28"/>
        </w:rPr>
        <w:t>挑战</w:t>
      </w:r>
    </w:p>
    <w:p w:rsidR="002D14F2" w:rsidRDefault="004D6FF0" w:rsidP="002D14F2">
      <w:pPr>
        <w:spacing w:line="560" w:lineRule="exact"/>
        <w:ind w:firstLineChars="200" w:firstLine="562"/>
        <w:rPr>
          <w:rFonts w:ascii="宋体" w:eastAsia="宋体" w:hAnsi="宋体"/>
          <w:sz w:val="28"/>
        </w:rPr>
      </w:pPr>
      <w:r>
        <w:rPr>
          <w:rFonts w:ascii="宋体" w:eastAsia="宋体" w:hAnsi="宋体" w:hint="eastAsia"/>
          <w:b/>
          <w:bCs/>
          <w:sz w:val="28"/>
        </w:rPr>
        <w:t>2022年整个行业面临的主要问题：</w:t>
      </w:r>
    </w:p>
    <w:p w:rsidR="002D14F2" w:rsidRDefault="004D6FF0" w:rsidP="002D14F2">
      <w:pPr>
        <w:spacing w:line="560" w:lineRule="exact"/>
        <w:ind w:firstLineChars="200" w:firstLine="560"/>
        <w:rPr>
          <w:rFonts w:ascii="宋体" w:eastAsia="宋体" w:hAnsi="宋体"/>
          <w:sz w:val="28"/>
        </w:rPr>
      </w:pPr>
      <w:r>
        <w:rPr>
          <w:rFonts w:asciiTheme="minorEastAsia" w:eastAsiaTheme="minorEastAsia" w:hAnsiTheme="minorEastAsia" w:hint="eastAsia"/>
          <w:color w:val="000000" w:themeColor="text1"/>
          <w:sz w:val="28"/>
          <w:szCs w:val="28"/>
        </w:rPr>
        <w:t>1、原材料价格依旧保持高位运行。疫情持续多点散发，防控形势依然严峻，受此影响，上游建筑项目施工进度缓慢，房地产对混凝土市场需求疲软，下游混凝土企业面临封控停产，原材料生产和运输受限，生产经营遭遇难以估量的影响。</w:t>
      </w:r>
    </w:p>
    <w:p w:rsidR="002D14F2" w:rsidRDefault="004D6FF0" w:rsidP="002D14F2">
      <w:pPr>
        <w:spacing w:line="56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2、混凝土公司资金回笼压力有增无减。开发商和</w:t>
      </w:r>
      <w:r>
        <w:rPr>
          <w:rFonts w:asciiTheme="minorEastAsia" w:eastAsiaTheme="minorEastAsia" w:hAnsiTheme="minorEastAsia"/>
          <w:color w:val="000000" w:themeColor="text1"/>
          <w:sz w:val="28"/>
          <w:szCs w:val="28"/>
        </w:rPr>
        <w:t>施工单位对混凝土企业销售款项的</w:t>
      </w:r>
      <w:r>
        <w:rPr>
          <w:rFonts w:asciiTheme="minorEastAsia" w:eastAsiaTheme="minorEastAsia" w:hAnsiTheme="minorEastAsia" w:hint="eastAsia"/>
          <w:color w:val="000000" w:themeColor="text1"/>
          <w:sz w:val="28"/>
          <w:szCs w:val="28"/>
        </w:rPr>
        <w:t>延迟</w:t>
      </w:r>
      <w:r>
        <w:rPr>
          <w:rFonts w:asciiTheme="minorEastAsia" w:eastAsiaTheme="minorEastAsia" w:hAnsiTheme="minorEastAsia"/>
          <w:color w:val="000000" w:themeColor="text1"/>
          <w:sz w:val="28"/>
          <w:szCs w:val="28"/>
        </w:rPr>
        <w:t>支付问题严重，造成混凝土企业应收账款总量逐年增</w:t>
      </w:r>
      <w:r>
        <w:rPr>
          <w:rFonts w:asciiTheme="minorEastAsia" w:eastAsiaTheme="minorEastAsia" w:hAnsiTheme="minorEastAsia" w:hint="eastAsia"/>
          <w:color w:val="000000" w:themeColor="text1"/>
          <w:sz w:val="28"/>
          <w:szCs w:val="28"/>
        </w:rPr>
        <w:t>加</w:t>
      </w:r>
      <w:r>
        <w:rPr>
          <w:rFonts w:asciiTheme="minorEastAsia" w:eastAsiaTheme="minorEastAsia" w:hAnsiTheme="minorEastAsia"/>
          <w:color w:val="000000" w:themeColor="text1"/>
          <w:sz w:val="28"/>
          <w:szCs w:val="28"/>
        </w:rPr>
        <w:t>,使得企业面临着巨大的资金周转</w:t>
      </w:r>
      <w:r>
        <w:rPr>
          <w:rFonts w:asciiTheme="minorEastAsia" w:eastAsiaTheme="minorEastAsia" w:hAnsiTheme="minorEastAsia" w:hint="eastAsia"/>
          <w:color w:val="000000" w:themeColor="text1"/>
          <w:sz w:val="28"/>
          <w:szCs w:val="28"/>
        </w:rPr>
        <w:t>压力</w:t>
      </w:r>
      <w:r>
        <w:rPr>
          <w:rFonts w:asciiTheme="minorEastAsia" w:eastAsiaTheme="minorEastAsia" w:hAnsiTheme="minorEastAsia"/>
          <w:color w:val="000000" w:themeColor="text1"/>
          <w:sz w:val="28"/>
          <w:szCs w:val="28"/>
        </w:rPr>
        <w:t>和坏账风险。202</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年房地产行业持续低迷，混凝土企业在回款方面</w:t>
      </w:r>
      <w:r>
        <w:rPr>
          <w:rFonts w:asciiTheme="minorEastAsia" w:eastAsiaTheme="minorEastAsia" w:hAnsiTheme="minorEastAsia" w:hint="eastAsia"/>
          <w:color w:val="000000" w:themeColor="text1"/>
          <w:sz w:val="28"/>
          <w:szCs w:val="28"/>
        </w:rPr>
        <w:t>必将</w:t>
      </w:r>
      <w:r>
        <w:rPr>
          <w:rFonts w:asciiTheme="minorEastAsia" w:eastAsiaTheme="minorEastAsia" w:hAnsiTheme="minorEastAsia"/>
          <w:color w:val="000000" w:themeColor="text1"/>
          <w:sz w:val="28"/>
          <w:szCs w:val="28"/>
        </w:rPr>
        <w:t>遭遇更大挑战</w:t>
      </w:r>
      <w:r w:rsidR="002D14F2">
        <w:rPr>
          <w:rFonts w:asciiTheme="minorEastAsia" w:eastAsiaTheme="minorEastAsia" w:hAnsiTheme="minorEastAsia" w:hint="eastAsia"/>
          <w:color w:val="000000" w:themeColor="text1"/>
          <w:sz w:val="28"/>
          <w:szCs w:val="28"/>
        </w:rPr>
        <w:t>。</w:t>
      </w:r>
    </w:p>
    <w:p w:rsidR="00676B88" w:rsidRDefault="004D6FF0" w:rsidP="002D14F2">
      <w:pPr>
        <w:spacing w:line="560" w:lineRule="exact"/>
        <w:ind w:firstLineChars="200" w:firstLine="560"/>
        <w:rPr>
          <w:rFonts w:ascii="宋体" w:eastAsia="宋体" w:hAnsi="宋体"/>
          <w:sz w:val="28"/>
        </w:rPr>
      </w:pPr>
      <w:r>
        <w:rPr>
          <w:rFonts w:asciiTheme="minorEastAsia" w:eastAsiaTheme="minorEastAsia" w:hAnsiTheme="minorEastAsia" w:hint="eastAsia"/>
          <w:color w:val="000000" w:themeColor="text1"/>
          <w:sz w:val="28"/>
          <w:szCs w:val="28"/>
        </w:rPr>
        <w:t>3、绿色低碳、高质量发展推动行业技术、标准、装备不断升级，倒逼混凝土企业加速绿色低碳生产、信息化、固废利用及产业链延伸全面发展。很多企业面临资金不足和人才短缺的双重矛盾或困难。</w:t>
      </w:r>
    </w:p>
    <w:p w:rsidR="005A443C" w:rsidRDefault="005A443C" w:rsidP="005A443C">
      <w:pPr>
        <w:spacing w:line="560" w:lineRule="exact"/>
        <w:ind w:firstLineChars="147" w:firstLine="413"/>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（三）</w:t>
      </w:r>
      <w:r w:rsidR="004D6FF0" w:rsidRPr="005A443C">
        <w:rPr>
          <w:rFonts w:asciiTheme="minorEastAsia" w:eastAsiaTheme="minorEastAsia" w:hAnsiTheme="minorEastAsia" w:hint="eastAsia"/>
          <w:b/>
          <w:bCs/>
          <w:color w:val="000000" w:themeColor="text1"/>
          <w:sz w:val="28"/>
          <w:szCs w:val="28"/>
        </w:rPr>
        <w:t>思考和建议</w:t>
      </w:r>
    </w:p>
    <w:p w:rsidR="002D14F2" w:rsidRPr="005A443C" w:rsidRDefault="004D6FF0" w:rsidP="005A443C">
      <w:pPr>
        <w:spacing w:line="560" w:lineRule="exact"/>
        <w:ind w:firstLineChars="196" w:firstLine="549"/>
        <w:rPr>
          <w:rFonts w:asciiTheme="minorEastAsia" w:eastAsiaTheme="minorEastAsia" w:hAnsiTheme="minorEastAsia"/>
          <w:b/>
          <w:bCs/>
          <w:color w:val="000000" w:themeColor="text1"/>
          <w:sz w:val="28"/>
          <w:szCs w:val="28"/>
        </w:rPr>
      </w:pPr>
      <w:r>
        <w:rPr>
          <w:rFonts w:ascii="宋体" w:eastAsia="宋体" w:hAnsi="宋体" w:hint="eastAsia"/>
          <w:sz w:val="28"/>
        </w:rPr>
        <w:t>在当前机遇与挑战并存的复杂环境下，我们要进一步统一思想，在保增长的同时更加注重结构调整和转变发展方式，抑制产能过剩和重复建设。</w:t>
      </w:r>
    </w:p>
    <w:p w:rsidR="002D14F2" w:rsidRPr="002D14F2" w:rsidRDefault="002D14F2" w:rsidP="005A443C">
      <w:pPr>
        <w:spacing w:line="560" w:lineRule="exact"/>
        <w:ind w:firstLineChars="200" w:firstLine="560"/>
        <w:rPr>
          <w:rFonts w:asciiTheme="minorEastAsia" w:eastAsiaTheme="minorEastAsia" w:hAnsiTheme="minorEastAsia"/>
          <w:b/>
          <w:bCs/>
          <w:color w:val="000000" w:themeColor="text1"/>
          <w:sz w:val="28"/>
          <w:szCs w:val="28"/>
        </w:rPr>
      </w:pPr>
      <w:r>
        <w:rPr>
          <w:rFonts w:ascii="宋体" w:eastAsia="宋体" w:hAnsi="宋体" w:hint="eastAsia"/>
          <w:sz w:val="28"/>
        </w:rPr>
        <w:t>1、</w:t>
      </w:r>
      <w:r w:rsidR="004D6FF0" w:rsidRPr="002D14F2">
        <w:rPr>
          <w:rFonts w:asciiTheme="minorEastAsia" w:eastAsiaTheme="minorEastAsia" w:hAnsiTheme="minorEastAsia" w:hint="eastAsia"/>
          <w:b/>
          <w:bCs/>
          <w:color w:val="000000" w:themeColor="text1"/>
          <w:sz w:val="28"/>
          <w:szCs w:val="28"/>
        </w:rPr>
        <w:t>积极探索实现“双碳”目标的新技术与新路径</w:t>
      </w:r>
    </w:p>
    <w:p w:rsidR="00676B88" w:rsidRPr="002D14F2" w:rsidRDefault="004D6FF0" w:rsidP="002D14F2">
      <w:pPr>
        <w:spacing w:line="560" w:lineRule="exact"/>
        <w:ind w:firstLineChars="200" w:firstLine="560"/>
        <w:rPr>
          <w:rFonts w:asciiTheme="minorEastAsia" w:eastAsiaTheme="minorEastAsia" w:hAnsiTheme="minorEastAsia"/>
          <w:b/>
          <w:bCs/>
          <w:color w:val="000000" w:themeColor="text1"/>
          <w:sz w:val="28"/>
          <w:szCs w:val="28"/>
        </w:rPr>
      </w:pPr>
      <w:r w:rsidRPr="002D14F2">
        <w:rPr>
          <w:rFonts w:asciiTheme="minorEastAsia" w:eastAsiaTheme="minorEastAsia" w:hAnsiTheme="minorEastAsia" w:hint="eastAsia"/>
          <w:color w:val="000000" w:themeColor="text1"/>
          <w:sz w:val="28"/>
          <w:szCs w:val="28"/>
        </w:rPr>
        <w:t>2021年10月26日，国务院发布了《2030年前碳达峰行动方案》。《行动方案》中提出“加强新型胶凝材料、低碳混凝土、木竹建材等低碳建材产品研发应用”。国务院颁发的文件中首次出现“低碳混凝土”的概念。在“双碳”战略目标的时代背景下，混凝土行业作为工</w:t>
      </w:r>
      <w:r w:rsidRPr="002D14F2">
        <w:rPr>
          <w:rFonts w:asciiTheme="minorEastAsia" w:eastAsiaTheme="minorEastAsia" w:hAnsiTheme="minorEastAsia" w:hint="eastAsia"/>
          <w:color w:val="000000" w:themeColor="text1"/>
          <w:sz w:val="28"/>
          <w:szCs w:val="28"/>
        </w:rPr>
        <w:lastRenderedPageBreak/>
        <w:t>程建设领域的重要组成部分，应积极探索实现“双碳”目标的新技术与新路径，加快推动政策出台、技术进步与产业结构的低碳转型。</w:t>
      </w:r>
    </w:p>
    <w:p w:rsidR="00676B88" w:rsidRDefault="004D6FF0" w:rsidP="002D14F2">
      <w:pPr>
        <w:shd w:val="clear" w:color="auto" w:fill="FFFFFF"/>
        <w:spacing w:line="560" w:lineRule="exact"/>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实现混凝土行业“双碳”达标，技术的持续升级和创新是关键。</w:t>
      </w:r>
    </w:p>
    <w:p w:rsidR="002D14F2" w:rsidRDefault="004D6FF0" w:rsidP="002D14F2">
      <w:pPr>
        <w:shd w:val="clear" w:color="auto" w:fill="FFFFFF"/>
        <w:spacing w:line="560" w:lineRule="exact"/>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鼓励混凝土企业向绿色转型，从源头降低原辅材料消耗和固废产生量，强化生产能耗管控，以降低综合能耗，将绿色生产、节能减排、固废利用等理念纳入研发、生产全过程。条件成熟时，在全省开展“低碳企业试点”。</w:t>
      </w:r>
    </w:p>
    <w:p w:rsidR="002D14F2" w:rsidRPr="00242273" w:rsidRDefault="004D6FF0" w:rsidP="002D14F2">
      <w:pPr>
        <w:shd w:val="clear" w:color="auto" w:fill="FFFFFF"/>
        <w:spacing w:line="560" w:lineRule="exact"/>
        <w:ind w:firstLineChars="200" w:firstLine="562"/>
        <w:jc w:val="both"/>
        <w:rPr>
          <w:rFonts w:ascii="宋体" w:eastAsia="宋体" w:hAnsi="宋体"/>
          <w:b/>
          <w:bCs/>
          <w:sz w:val="28"/>
        </w:rPr>
      </w:pPr>
      <w:r>
        <w:rPr>
          <w:rFonts w:ascii="宋体" w:eastAsia="宋体" w:hAnsi="宋体" w:hint="eastAsia"/>
          <w:b/>
          <w:bCs/>
          <w:sz w:val="28"/>
        </w:rPr>
        <w:t>2、借助数字化、智能化</w:t>
      </w:r>
      <w:r w:rsidRPr="00242273">
        <w:rPr>
          <w:rFonts w:ascii="宋体" w:eastAsia="宋体" w:hAnsi="宋体" w:hint="eastAsia"/>
          <w:b/>
          <w:bCs/>
          <w:sz w:val="28"/>
        </w:rPr>
        <w:t>转型升级的新机遇，</w:t>
      </w:r>
      <w:r w:rsidR="00242273">
        <w:rPr>
          <w:rFonts w:ascii="宋体" w:eastAsia="宋体" w:hAnsi="宋体" w:hint="eastAsia"/>
          <w:b/>
          <w:bCs/>
          <w:sz w:val="28"/>
        </w:rPr>
        <w:t>提高企业的管理水平和产品附加值</w:t>
      </w:r>
    </w:p>
    <w:p w:rsidR="00676B88" w:rsidRDefault="004D6FF0" w:rsidP="002D14F2">
      <w:pPr>
        <w:shd w:val="clear" w:color="auto" w:fill="FFFFFF"/>
        <w:spacing w:line="560" w:lineRule="exact"/>
        <w:ind w:firstLineChars="200" w:firstLine="560"/>
        <w:jc w:val="both"/>
        <w:rPr>
          <w:rFonts w:asciiTheme="minorEastAsia" w:eastAsiaTheme="minorEastAsia" w:hAnsiTheme="minorEastAsia"/>
          <w:color w:val="000000" w:themeColor="text1"/>
          <w:sz w:val="28"/>
          <w:szCs w:val="28"/>
        </w:rPr>
      </w:pPr>
      <w:r>
        <w:rPr>
          <w:rFonts w:ascii="宋体" w:eastAsia="宋体" w:hAnsi="宋体" w:cs="宋体" w:hint="eastAsia"/>
          <w:sz w:val="28"/>
          <w:szCs w:val="28"/>
        </w:rPr>
        <w:t>江苏正在迈入“数字经济”发展阶段，混凝土行业在大力普及信息化管控的基础上，逐步向数字化、智能化方向发展，这是大势所趋。在新形势下，混凝土企业应以转变生产经营方式为主线，集环保、节能、信息化或数字化于一体，通过引入智能制造新技术，将混凝土生产、供应、管理等全过程中的各个环节集成为一个完整的体系，用数字化、智能化、推动精细化，实现生产、供应等整个流程的规范化管理，提升市场快速反应、资源配置、生产组织、降本增效的能力，在成本控制、效率、品质等方面充分体现企业的优势。我们要借助数字化、智能化</w:t>
      </w:r>
      <w:r>
        <w:rPr>
          <w:rFonts w:ascii="宋体" w:eastAsia="宋体" w:hAnsi="宋体" w:cs="宋体" w:hint="eastAsia"/>
          <w:color w:val="000000" w:themeColor="text1"/>
          <w:sz w:val="28"/>
          <w:szCs w:val="28"/>
        </w:rPr>
        <w:t>转型升级的新机遇，</w:t>
      </w:r>
      <w:r>
        <w:rPr>
          <w:rFonts w:ascii="宋体" w:eastAsia="宋体" w:hAnsi="宋体" w:cs="宋体" w:hint="eastAsia"/>
          <w:sz w:val="28"/>
          <w:szCs w:val="28"/>
        </w:rPr>
        <w:t>通过技术创新、人才创新和组织创新探索适合本行业、本地区特色的混凝土企业管理模式，建立技术进步和管理创新机制，加快新技术、新成果的转化和企业文化建设，提升企业的核心竞争力，进而提高企业的管理水平和产品的附加值。</w:t>
      </w:r>
    </w:p>
    <w:p w:rsidR="002D14F2" w:rsidRDefault="004D6FF0" w:rsidP="002D14F2">
      <w:pPr>
        <w:spacing w:line="56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3、降低财务费用，规避企业经营风险</w:t>
      </w:r>
    </w:p>
    <w:p w:rsidR="00676B88" w:rsidRPr="002D14F2" w:rsidRDefault="004D6FF0" w:rsidP="002D14F2">
      <w:pPr>
        <w:spacing w:line="560" w:lineRule="exact"/>
        <w:ind w:firstLineChars="200" w:firstLine="560"/>
        <w:rPr>
          <w:rFonts w:ascii="宋体" w:eastAsia="宋体" w:hAnsi="宋体" w:cs="宋体"/>
          <w:b/>
          <w:bCs/>
          <w:sz w:val="28"/>
          <w:szCs w:val="28"/>
        </w:rPr>
      </w:pPr>
      <w:r>
        <w:rPr>
          <w:rFonts w:ascii="宋体" w:eastAsia="宋体" w:hAnsi="宋体" w:cs="宋体" w:hint="eastAsia"/>
          <w:sz w:val="28"/>
          <w:szCs w:val="28"/>
        </w:rPr>
        <w:t>要利用各种社会资源，充分发挥市、县行业协会的统筹、协调作用，努力创造条件，配合政府有关部门，努力改善企业投资和治理环</w:t>
      </w:r>
      <w:r>
        <w:rPr>
          <w:rFonts w:ascii="宋体" w:eastAsia="宋体" w:hAnsi="宋体" w:cs="宋体" w:hint="eastAsia"/>
          <w:sz w:val="28"/>
          <w:szCs w:val="28"/>
        </w:rPr>
        <w:lastRenderedPageBreak/>
        <w:t>境，缓解企业的资金压力和原材料采购难问题。混凝土企业应严格控制应收</w:t>
      </w:r>
      <w:r w:rsidR="00A44A4A">
        <w:rPr>
          <w:rFonts w:ascii="宋体" w:eastAsia="宋体" w:hAnsi="宋体" w:cs="宋体" w:hint="eastAsia"/>
          <w:sz w:val="28"/>
          <w:szCs w:val="28"/>
        </w:rPr>
        <w:t>账款</w:t>
      </w:r>
      <w:r>
        <w:rPr>
          <w:rFonts w:ascii="宋体" w:eastAsia="宋体" w:hAnsi="宋体" w:cs="宋体" w:hint="eastAsia"/>
          <w:sz w:val="28"/>
          <w:szCs w:val="28"/>
        </w:rPr>
        <w:t>，有效提高资金使用效率；减少银行贷款，降低财务费用；不接受社会高利贷，规避企业经营风险。</w:t>
      </w:r>
    </w:p>
    <w:p w:rsidR="00676B88" w:rsidRDefault="004D6FF0" w:rsidP="00B86ACB">
      <w:pPr>
        <w:spacing w:line="560" w:lineRule="exact"/>
        <w:ind w:leftChars="200" w:left="480" w:firstLineChars="48" w:firstLine="135"/>
        <w:jc w:val="both"/>
        <w:rPr>
          <w:rFonts w:ascii="宋体" w:eastAsia="宋体" w:hAnsi="宋体"/>
          <w:b/>
          <w:bCs/>
          <w:sz w:val="28"/>
        </w:rPr>
      </w:pPr>
      <w:r>
        <w:rPr>
          <w:rFonts w:ascii="宋体" w:eastAsia="宋体" w:hAnsi="宋体" w:hint="eastAsia"/>
          <w:b/>
          <w:bCs/>
          <w:sz w:val="28"/>
        </w:rPr>
        <w:t>4、组织好人才引进和培训工作</w:t>
      </w:r>
    </w:p>
    <w:p w:rsidR="00676B88" w:rsidRDefault="004D6FF0" w:rsidP="002D14F2">
      <w:pPr>
        <w:spacing w:line="560" w:lineRule="exact"/>
        <w:ind w:firstLineChars="200" w:firstLine="600"/>
        <w:jc w:val="both"/>
        <w:rPr>
          <w:rFonts w:ascii="宋体" w:eastAsia="宋体" w:hAnsi="宋体"/>
          <w:sz w:val="28"/>
        </w:rPr>
      </w:pPr>
      <w:r>
        <w:rPr>
          <w:rFonts w:ascii="宋体" w:eastAsia="宋体" w:hAnsi="宋体" w:cs="宋体" w:hint="eastAsia"/>
          <w:color w:val="000000"/>
          <w:sz w:val="30"/>
          <w:szCs w:val="30"/>
        </w:rPr>
        <w:t>为满足混凝土企业的快速数字化转型对员工素质的要求，企业应建立</w:t>
      </w:r>
      <w:r w:rsidR="007D0A5F" w:rsidRPr="005A443C">
        <w:rPr>
          <w:rFonts w:ascii="宋体" w:eastAsia="宋体" w:hAnsi="宋体" w:cs="宋体" w:hint="eastAsia"/>
          <w:color w:val="000000" w:themeColor="text1"/>
          <w:sz w:val="30"/>
          <w:szCs w:val="30"/>
        </w:rPr>
        <w:t>基于</w:t>
      </w:r>
      <w:r w:rsidRPr="005A443C">
        <w:rPr>
          <w:rFonts w:ascii="宋体" w:eastAsia="宋体" w:hAnsi="宋体" w:cs="宋体" w:hint="eastAsia"/>
          <w:color w:val="000000" w:themeColor="text1"/>
          <w:sz w:val="30"/>
          <w:szCs w:val="30"/>
        </w:rPr>
        <w:t>业务快速成长</w:t>
      </w:r>
      <w:r>
        <w:rPr>
          <w:rFonts w:ascii="宋体" w:eastAsia="宋体" w:hAnsi="宋体" w:cs="宋体" w:hint="eastAsia"/>
          <w:color w:val="000000"/>
          <w:sz w:val="30"/>
          <w:szCs w:val="30"/>
        </w:rPr>
        <w:t>和高素质团队。对很多企业而言，这方面的人才引进和培养必不可少。为此，组织好行业培训显得尤为重要。</w:t>
      </w:r>
      <w:r>
        <w:rPr>
          <w:rFonts w:ascii="宋体" w:eastAsia="宋体" w:hAnsi="宋体" w:hint="eastAsia"/>
          <w:sz w:val="28"/>
        </w:rPr>
        <w:t>应根据混凝土行业的特点和行业发</w:t>
      </w:r>
      <w:r w:rsidR="007D0A5F">
        <w:rPr>
          <w:rFonts w:ascii="宋体" w:eastAsia="宋体" w:hAnsi="宋体" w:hint="eastAsia"/>
          <w:sz w:val="28"/>
        </w:rPr>
        <w:t xml:space="preserve"> </w:t>
      </w:r>
      <w:r>
        <w:rPr>
          <w:rFonts w:ascii="宋体" w:eastAsia="宋体" w:hAnsi="宋体" w:hint="eastAsia"/>
          <w:sz w:val="28"/>
        </w:rPr>
        <w:t>展需要，组织好人才培训工作。省、市行业协会应在专业培训中发挥主导作用，应由行业协会制定中、长期和近期的培训计划和实施方案，解决企业急需的短缺人才，以促进企业的技术进步和良性发展。</w:t>
      </w:r>
    </w:p>
    <w:p w:rsidR="00676B88" w:rsidRDefault="004D6FF0" w:rsidP="002D14F2">
      <w:pPr>
        <w:spacing w:line="560" w:lineRule="exact"/>
        <w:ind w:firstLineChars="200" w:firstLine="600"/>
        <w:jc w:val="both"/>
        <w:rPr>
          <w:rFonts w:ascii="宋体" w:eastAsia="宋体" w:hAnsi="宋体"/>
          <w:sz w:val="28"/>
        </w:rPr>
      </w:pPr>
      <w:r>
        <w:rPr>
          <w:rFonts w:ascii="宋体" w:eastAsia="宋体" w:hAnsi="宋体" w:cs="宋体" w:hint="eastAsia"/>
          <w:color w:val="000000"/>
          <w:sz w:val="30"/>
          <w:szCs w:val="30"/>
        </w:rPr>
        <w:t>近期，培训重点将放在数字化转型标准解读及新一代信息专业技能提升的中高层管理培训。</w:t>
      </w:r>
    </w:p>
    <w:p w:rsidR="00676B88" w:rsidRDefault="004D6FF0" w:rsidP="002D14F2">
      <w:pPr>
        <w:spacing w:line="560" w:lineRule="exact"/>
        <w:ind w:firstLineChars="198" w:firstLine="594"/>
        <w:jc w:val="both"/>
        <w:rPr>
          <w:rFonts w:ascii="宋体" w:eastAsia="宋体" w:hAnsi="宋体" w:cs="宋体"/>
          <w:color w:val="000000"/>
          <w:sz w:val="30"/>
          <w:szCs w:val="30"/>
        </w:rPr>
      </w:pPr>
      <w:r>
        <w:rPr>
          <w:rFonts w:ascii="宋体" w:eastAsia="宋体" w:hAnsi="宋体" w:cs="宋体" w:hint="eastAsia"/>
          <w:color w:val="000000"/>
          <w:sz w:val="30"/>
          <w:szCs w:val="30"/>
        </w:rPr>
        <w:t>为满足混凝土企业对不同层次人才的要求，省协会计划与江苏省建筑科学研究院、南京工程师学会联合开展混凝土企业高级人才研修班。</w:t>
      </w:r>
    </w:p>
    <w:sectPr w:rsidR="00676B88" w:rsidSect="00C40440">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5D9" w:rsidRDefault="002815D9" w:rsidP="00676B88">
      <w:r>
        <w:separator/>
      </w:r>
    </w:p>
  </w:endnote>
  <w:endnote w:type="continuationSeparator" w:id="1">
    <w:p w:rsidR="002815D9" w:rsidRDefault="002815D9" w:rsidP="00676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88" w:rsidRDefault="000E3D9B">
    <w:pPr>
      <w:pStyle w:val="a5"/>
      <w:framePr w:wrap="around" w:vAnchor="text" w:hAnchor="margin" w:xAlign="right" w:y="1"/>
      <w:rPr>
        <w:rStyle w:val="a9"/>
      </w:rPr>
    </w:pPr>
    <w:r>
      <w:rPr>
        <w:rStyle w:val="a9"/>
      </w:rPr>
      <w:fldChar w:fldCharType="begin"/>
    </w:r>
    <w:r w:rsidR="004D6FF0">
      <w:rPr>
        <w:rStyle w:val="a9"/>
      </w:rPr>
      <w:instrText xml:space="preserve">PAGE  </w:instrText>
    </w:r>
    <w:r>
      <w:rPr>
        <w:rStyle w:val="a9"/>
      </w:rPr>
      <w:fldChar w:fldCharType="end"/>
    </w:r>
  </w:p>
  <w:p w:rsidR="00676B88" w:rsidRDefault="00676B8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88" w:rsidRDefault="000E3D9B">
    <w:pPr>
      <w:pStyle w:val="a5"/>
      <w:framePr w:wrap="around" w:vAnchor="text" w:hAnchor="margin" w:xAlign="right" w:y="1"/>
      <w:rPr>
        <w:rStyle w:val="a9"/>
      </w:rPr>
    </w:pPr>
    <w:r>
      <w:rPr>
        <w:rStyle w:val="a9"/>
      </w:rPr>
      <w:fldChar w:fldCharType="begin"/>
    </w:r>
    <w:r w:rsidR="004D6FF0">
      <w:rPr>
        <w:rStyle w:val="a9"/>
      </w:rPr>
      <w:instrText xml:space="preserve">PAGE  </w:instrText>
    </w:r>
    <w:r>
      <w:rPr>
        <w:rStyle w:val="a9"/>
      </w:rPr>
      <w:fldChar w:fldCharType="separate"/>
    </w:r>
    <w:r w:rsidR="00305334">
      <w:rPr>
        <w:rStyle w:val="a9"/>
        <w:noProof/>
      </w:rPr>
      <w:t>11</w:t>
    </w:r>
    <w:r>
      <w:rPr>
        <w:rStyle w:val="a9"/>
      </w:rPr>
      <w:fldChar w:fldCharType="end"/>
    </w:r>
  </w:p>
  <w:p w:rsidR="00676B88" w:rsidRDefault="00676B8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5D9" w:rsidRDefault="002815D9" w:rsidP="00676B88">
      <w:r>
        <w:separator/>
      </w:r>
    </w:p>
  </w:footnote>
  <w:footnote w:type="continuationSeparator" w:id="1">
    <w:p w:rsidR="002815D9" w:rsidRDefault="002815D9" w:rsidP="00676B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DE544D"/>
    <w:multiLevelType w:val="singleLevel"/>
    <w:tmpl w:val="B3DE544D"/>
    <w:lvl w:ilvl="0">
      <w:start w:val="1"/>
      <w:numFmt w:val="chineseCounting"/>
      <w:suff w:val="nothing"/>
      <w:lvlText w:val="（%1）"/>
      <w:lvlJc w:val="left"/>
      <w:pPr>
        <w:ind w:left="398"/>
      </w:pPr>
      <w:rPr>
        <w:rFonts w:hint="eastAsia"/>
      </w:rPr>
    </w:lvl>
  </w:abstractNum>
  <w:abstractNum w:abstractNumId="1">
    <w:nsid w:val="0EA32810"/>
    <w:multiLevelType w:val="hybridMultilevel"/>
    <w:tmpl w:val="781C520A"/>
    <w:lvl w:ilvl="0" w:tplc="25E2D524">
      <w:start w:val="1"/>
      <w:numFmt w:val="decimal"/>
      <w:lvlText w:val="%1、"/>
      <w:lvlJc w:val="left"/>
      <w:pPr>
        <w:ind w:left="1172" w:hanging="720"/>
      </w:pPr>
      <w:rPr>
        <w:rFonts w:ascii="宋体" w:eastAsia="宋体" w:hAnsi="宋体" w:cs="宋体" w:hint="default"/>
        <w:color w:val="000000"/>
        <w:sz w:val="30"/>
      </w:rPr>
    </w:lvl>
    <w:lvl w:ilvl="1" w:tplc="04090019" w:tentative="1">
      <w:start w:val="1"/>
      <w:numFmt w:val="lowerLetter"/>
      <w:lvlText w:val="%2)"/>
      <w:lvlJc w:val="left"/>
      <w:pPr>
        <w:ind w:left="1292" w:hanging="420"/>
      </w:pPr>
    </w:lvl>
    <w:lvl w:ilvl="2" w:tplc="0409001B" w:tentative="1">
      <w:start w:val="1"/>
      <w:numFmt w:val="lowerRoman"/>
      <w:lvlText w:val="%3."/>
      <w:lvlJc w:val="right"/>
      <w:pPr>
        <w:ind w:left="1712" w:hanging="420"/>
      </w:pPr>
    </w:lvl>
    <w:lvl w:ilvl="3" w:tplc="0409000F" w:tentative="1">
      <w:start w:val="1"/>
      <w:numFmt w:val="decimal"/>
      <w:lvlText w:val="%4."/>
      <w:lvlJc w:val="left"/>
      <w:pPr>
        <w:ind w:left="2132" w:hanging="420"/>
      </w:pPr>
    </w:lvl>
    <w:lvl w:ilvl="4" w:tplc="04090019" w:tentative="1">
      <w:start w:val="1"/>
      <w:numFmt w:val="lowerLetter"/>
      <w:lvlText w:val="%5)"/>
      <w:lvlJc w:val="left"/>
      <w:pPr>
        <w:ind w:left="2552" w:hanging="420"/>
      </w:pPr>
    </w:lvl>
    <w:lvl w:ilvl="5" w:tplc="0409001B" w:tentative="1">
      <w:start w:val="1"/>
      <w:numFmt w:val="lowerRoman"/>
      <w:lvlText w:val="%6."/>
      <w:lvlJc w:val="right"/>
      <w:pPr>
        <w:ind w:left="2972" w:hanging="420"/>
      </w:pPr>
    </w:lvl>
    <w:lvl w:ilvl="6" w:tplc="0409000F" w:tentative="1">
      <w:start w:val="1"/>
      <w:numFmt w:val="decimal"/>
      <w:lvlText w:val="%7."/>
      <w:lvlJc w:val="left"/>
      <w:pPr>
        <w:ind w:left="3392" w:hanging="420"/>
      </w:pPr>
    </w:lvl>
    <w:lvl w:ilvl="7" w:tplc="04090019" w:tentative="1">
      <w:start w:val="1"/>
      <w:numFmt w:val="lowerLetter"/>
      <w:lvlText w:val="%8)"/>
      <w:lvlJc w:val="left"/>
      <w:pPr>
        <w:ind w:left="3812" w:hanging="420"/>
      </w:pPr>
    </w:lvl>
    <w:lvl w:ilvl="8" w:tplc="0409001B" w:tentative="1">
      <w:start w:val="1"/>
      <w:numFmt w:val="lowerRoman"/>
      <w:lvlText w:val="%9."/>
      <w:lvlJc w:val="right"/>
      <w:pPr>
        <w:ind w:left="4232" w:hanging="420"/>
      </w:pPr>
    </w:lvl>
  </w:abstractNum>
  <w:abstractNum w:abstractNumId="2">
    <w:nsid w:val="383F7892"/>
    <w:multiLevelType w:val="hybridMultilevel"/>
    <w:tmpl w:val="2ABCE8D8"/>
    <w:lvl w:ilvl="0" w:tplc="1286F204">
      <w:start w:val="3"/>
      <w:numFmt w:val="japaneseCounting"/>
      <w:lvlText w:val="（%1）"/>
      <w:lvlJc w:val="left"/>
      <w:pPr>
        <w:ind w:left="1436" w:hanging="885"/>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
    <w:nsid w:val="57A8A6F0"/>
    <w:multiLevelType w:val="singleLevel"/>
    <w:tmpl w:val="57A8A6F0"/>
    <w:lvl w:ilvl="0">
      <w:start w:val="5"/>
      <w:numFmt w:val="decimal"/>
      <w:suff w:val="nothing"/>
      <w:lvlText w:val="%1、"/>
      <w:lvlJc w:val="left"/>
      <w:pPr>
        <w:ind w:left="-82"/>
      </w:pPr>
    </w:lvl>
  </w:abstractNum>
  <w:abstractNum w:abstractNumId="4">
    <w:nsid w:val="7F7C0F8E"/>
    <w:multiLevelType w:val="hybridMultilevel"/>
    <w:tmpl w:val="ECC609C6"/>
    <w:lvl w:ilvl="0" w:tplc="0DD293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36DF"/>
    <w:rsid w:val="00001C24"/>
    <w:rsid w:val="0000379B"/>
    <w:rsid w:val="000044E2"/>
    <w:rsid w:val="0000546F"/>
    <w:rsid w:val="00011B7F"/>
    <w:rsid w:val="00016376"/>
    <w:rsid w:val="00022264"/>
    <w:rsid w:val="000227A8"/>
    <w:rsid w:val="00046542"/>
    <w:rsid w:val="000528E1"/>
    <w:rsid w:val="00054147"/>
    <w:rsid w:val="00070F61"/>
    <w:rsid w:val="000713F6"/>
    <w:rsid w:val="00074F21"/>
    <w:rsid w:val="000801FE"/>
    <w:rsid w:val="00080EAD"/>
    <w:rsid w:val="0009106F"/>
    <w:rsid w:val="000A768B"/>
    <w:rsid w:val="000B6418"/>
    <w:rsid w:val="000B6BDC"/>
    <w:rsid w:val="000C3A4B"/>
    <w:rsid w:val="000E0734"/>
    <w:rsid w:val="000E1745"/>
    <w:rsid w:val="000E3D9B"/>
    <w:rsid w:val="000E4498"/>
    <w:rsid w:val="000E6BA8"/>
    <w:rsid w:val="000F13FD"/>
    <w:rsid w:val="000F4C65"/>
    <w:rsid w:val="00106562"/>
    <w:rsid w:val="0011133C"/>
    <w:rsid w:val="00111795"/>
    <w:rsid w:val="00120A96"/>
    <w:rsid w:val="001238A0"/>
    <w:rsid w:val="00131848"/>
    <w:rsid w:val="00147861"/>
    <w:rsid w:val="0015213D"/>
    <w:rsid w:val="00163522"/>
    <w:rsid w:val="00177721"/>
    <w:rsid w:val="00184490"/>
    <w:rsid w:val="00191541"/>
    <w:rsid w:val="00197448"/>
    <w:rsid w:val="001B0787"/>
    <w:rsid w:val="001C2A28"/>
    <w:rsid w:val="001C3DC0"/>
    <w:rsid w:val="001D3AB3"/>
    <w:rsid w:val="001D45A0"/>
    <w:rsid w:val="001D6733"/>
    <w:rsid w:val="001D6E6C"/>
    <w:rsid w:val="001E7202"/>
    <w:rsid w:val="00201597"/>
    <w:rsid w:val="0022116B"/>
    <w:rsid w:val="00226C42"/>
    <w:rsid w:val="002325AF"/>
    <w:rsid w:val="00237405"/>
    <w:rsid w:val="002377B9"/>
    <w:rsid w:val="00237C97"/>
    <w:rsid w:val="002418CA"/>
    <w:rsid w:val="00242273"/>
    <w:rsid w:val="00247B6F"/>
    <w:rsid w:val="00252E77"/>
    <w:rsid w:val="00262147"/>
    <w:rsid w:val="00272D61"/>
    <w:rsid w:val="002815D9"/>
    <w:rsid w:val="00290E49"/>
    <w:rsid w:val="00291D8D"/>
    <w:rsid w:val="00295D62"/>
    <w:rsid w:val="002961A7"/>
    <w:rsid w:val="002975AD"/>
    <w:rsid w:val="00297B4F"/>
    <w:rsid w:val="002A0CEA"/>
    <w:rsid w:val="002A495A"/>
    <w:rsid w:val="002C7549"/>
    <w:rsid w:val="002D14F2"/>
    <w:rsid w:val="002D2301"/>
    <w:rsid w:val="002E0D51"/>
    <w:rsid w:val="002E1160"/>
    <w:rsid w:val="002F22B5"/>
    <w:rsid w:val="002F38CE"/>
    <w:rsid w:val="002F39C4"/>
    <w:rsid w:val="002F583D"/>
    <w:rsid w:val="002F77D8"/>
    <w:rsid w:val="00305334"/>
    <w:rsid w:val="003122DD"/>
    <w:rsid w:val="003130C4"/>
    <w:rsid w:val="003246D9"/>
    <w:rsid w:val="00324E83"/>
    <w:rsid w:val="003250EE"/>
    <w:rsid w:val="00326592"/>
    <w:rsid w:val="00330F11"/>
    <w:rsid w:val="003346CD"/>
    <w:rsid w:val="00336878"/>
    <w:rsid w:val="0034015E"/>
    <w:rsid w:val="003409D6"/>
    <w:rsid w:val="00341AEE"/>
    <w:rsid w:val="0035412D"/>
    <w:rsid w:val="00354A9F"/>
    <w:rsid w:val="003629B1"/>
    <w:rsid w:val="0036370B"/>
    <w:rsid w:val="00367A10"/>
    <w:rsid w:val="0037189D"/>
    <w:rsid w:val="00381CA1"/>
    <w:rsid w:val="003901CA"/>
    <w:rsid w:val="00394EAB"/>
    <w:rsid w:val="00395422"/>
    <w:rsid w:val="00396EDB"/>
    <w:rsid w:val="003A29A1"/>
    <w:rsid w:val="003C3E4A"/>
    <w:rsid w:val="003D0484"/>
    <w:rsid w:val="003E1469"/>
    <w:rsid w:val="003E3C72"/>
    <w:rsid w:val="003E5D87"/>
    <w:rsid w:val="003E678B"/>
    <w:rsid w:val="003F0070"/>
    <w:rsid w:val="003F3789"/>
    <w:rsid w:val="003F3968"/>
    <w:rsid w:val="003F5B51"/>
    <w:rsid w:val="00403049"/>
    <w:rsid w:val="00414EC1"/>
    <w:rsid w:val="004211AA"/>
    <w:rsid w:val="00423439"/>
    <w:rsid w:val="004245A1"/>
    <w:rsid w:val="004402F8"/>
    <w:rsid w:val="0045314F"/>
    <w:rsid w:val="00454BA2"/>
    <w:rsid w:val="0045649D"/>
    <w:rsid w:val="0045779A"/>
    <w:rsid w:val="004604F7"/>
    <w:rsid w:val="0046239C"/>
    <w:rsid w:val="00465239"/>
    <w:rsid w:val="00465528"/>
    <w:rsid w:val="00467955"/>
    <w:rsid w:val="00477AC8"/>
    <w:rsid w:val="004930B5"/>
    <w:rsid w:val="0049740E"/>
    <w:rsid w:val="004A010E"/>
    <w:rsid w:val="004A6530"/>
    <w:rsid w:val="004A66FA"/>
    <w:rsid w:val="004A6D26"/>
    <w:rsid w:val="004A7E48"/>
    <w:rsid w:val="004C5D6B"/>
    <w:rsid w:val="004C6FF8"/>
    <w:rsid w:val="004D440E"/>
    <w:rsid w:val="004D6FF0"/>
    <w:rsid w:val="004E479D"/>
    <w:rsid w:val="004F3A9E"/>
    <w:rsid w:val="004F6894"/>
    <w:rsid w:val="00501A5E"/>
    <w:rsid w:val="005030E8"/>
    <w:rsid w:val="005044AF"/>
    <w:rsid w:val="0050784B"/>
    <w:rsid w:val="005109CF"/>
    <w:rsid w:val="005169AD"/>
    <w:rsid w:val="00520503"/>
    <w:rsid w:val="00524E99"/>
    <w:rsid w:val="00524ECE"/>
    <w:rsid w:val="00534F9D"/>
    <w:rsid w:val="00535158"/>
    <w:rsid w:val="005372A3"/>
    <w:rsid w:val="00551930"/>
    <w:rsid w:val="0055528A"/>
    <w:rsid w:val="0055662F"/>
    <w:rsid w:val="00560668"/>
    <w:rsid w:val="00564230"/>
    <w:rsid w:val="0056642E"/>
    <w:rsid w:val="00581E52"/>
    <w:rsid w:val="00582B9B"/>
    <w:rsid w:val="00592200"/>
    <w:rsid w:val="00593F81"/>
    <w:rsid w:val="005947E3"/>
    <w:rsid w:val="005A443C"/>
    <w:rsid w:val="005A644E"/>
    <w:rsid w:val="005A708F"/>
    <w:rsid w:val="005B11AE"/>
    <w:rsid w:val="005B3F9D"/>
    <w:rsid w:val="005C7945"/>
    <w:rsid w:val="005D28B1"/>
    <w:rsid w:val="005D2F74"/>
    <w:rsid w:val="005D7DB6"/>
    <w:rsid w:val="005E0010"/>
    <w:rsid w:val="005E2F0D"/>
    <w:rsid w:val="005F3A47"/>
    <w:rsid w:val="005F477C"/>
    <w:rsid w:val="005F6B94"/>
    <w:rsid w:val="005F7B62"/>
    <w:rsid w:val="00626996"/>
    <w:rsid w:val="00632901"/>
    <w:rsid w:val="006358B1"/>
    <w:rsid w:val="0064531C"/>
    <w:rsid w:val="0065506F"/>
    <w:rsid w:val="00667F33"/>
    <w:rsid w:val="0067594F"/>
    <w:rsid w:val="00676B88"/>
    <w:rsid w:val="0068178A"/>
    <w:rsid w:val="00685FEF"/>
    <w:rsid w:val="00687039"/>
    <w:rsid w:val="00692F42"/>
    <w:rsid w:val="006A1209"/>
    <w:rsid w:val="006A2171"/>
    <w:rsid w:val="006B3BD6"/>
    <w:rsid w:val="006B6C46"/>
    <w:rsid w:val="006C668E"/>
    <w:rsid w:val="006D6F1B"/>
    <w:rsid w:val="006F24E9"/>
    <w:rsid w:val="007069A0"/>
    <w:rsid w:val="00707D46"/>
    <w:rsid w:val="00720997"/>
    <w:rsid w:val="00721E11"/>
    <w:rsid w:val="007254A5"/>
    <w:rsid w:val="00725593"/>
    <w:rsid w:val="00725E89"/>
    <w:rsid w:val="00726017"/>
    <w:rsid w:val="007327BB"/>
    <w:rsid w:val="00732C12"/>
    <w:rsid w:val="0073653F"/>
    <w:rsid w:val="007365F4"/>
    <w:rsid w:val="007372D1"/>
    <w:rsid w:val="00745645"/>
    <w:rsid w:val="0075342D"/>
    <w:rsid w:val="00754C0D"/>
    <w:rsid w:val="00761FAB"/>
    <w:rsid w:val="00762212"/>
    <w:rsid w:val="00767157"/>
    <w:rsid w:val="00772E30"/>
    <w:rsid w:val="00776BDE"/>
    <w:rsid w:val="00782F0E"/>
    <w:rsid w:val="007B0E01"/>
    <w:rsid w:val="007B54E5"/>
    <w:rsid w:val="007B554E"/>
    <w:rsid w:val="007B6A3C"/>
    <w:rsid w:val="007C0E9F"/>
    <w:rsid w:val="007C364E"/>
    <w:rsid w:val="007C4E34"/>
    <w:rsid w:val="007D0A5F"/>
    <w:rsid w:val="007D1AE3"/>
    <w:rsid w:val="007E0446"/>
    <w:rsid w:val="007F2723"/>
    <w:rsid w:val="00800682"/>
    <w:rsid w:val="0081368B"/>
    <w:rsid w:val="008216EC"/>
    <w:rsid w:val="00834D69"/>
    <w:rsid w:val="00835FDF"/>
    <w:rsid w:val="00844339"/>
    <w:rsid w:val="00847AA0"/>
    <w:rsid w:val="008502F2"/>
    <w:rsid w:val="008542EF"/>
    <w:rsid w:val="00856CAD"/>
    <w:rsid w:val="00857EA4"/>
    <w:rsid w:val="008606BD"/>
    <w:rsid w:val="00873121"/>
    <w:rsid w:val="00873BD5"/>
    <w:rsid w:val="008745CA"/>
    <w:rsid w:val="0087726A"/>
    <w:rsid w:val="00883AD5"/>
    <w:rsid w:val="008850BF"/>
    <w:rsid w:val="00890110"/>
    <w:rsid w:val="008931CB"/>
    <w:rsid w:val="00895207"/>
    <w:rsid w:val="008B3D58"/>
    <w:rsid w:val="008B5E62"/>
    <w:rsid w:val="008B7676"/>
    <w:rsid w:val="008C75C4"/>
    <w:rsid w:val="008D2D43"/>
    <w:rsid w:val="00906134"/>
    <w:rsid w:val="009127FA"/>
    <w:rsid w:val="009203F3"/>
    <w:rsid w:val="00936535"/>
    <w:rsid w:val="00936DE8"/>
    <w:rsid w:val="00942DB2"/>
    <w:rsid w:val="00944667"/>
    <w:rsid w:val="00946D70"/>
    <w:rsid w:val="00950AB0"/>
    <w:rsid w:val="00967949"/>
    <w:rsid w:val="00981492"/>
    <w:rsid w:val="0099084E"/>
    <w:rsid w:val="009A50EC"/>
    <w:rsid w:val="009A6A32"/>
    <w:rsid w:val="009B44F4"/>
    <w:rsid w:val="009B7583"/>
    <w:rsid w:val="009D3B19"/>
    <w:rsid w:val="009D717D"/>
    <w:rsid w:val="009E0D96"/>
    <w:rsid w:val="009E1ECC"/>
    <w:rsid w:val="009F010D"/>
    <w:rsid w:val="009F3AB4"/>
    <w:rsid w:val="009F4D42"/>
    <w:rsid w:val="009F4E34"/>
    <w:rsid w:val="00A047D7"/>
    <w:rsid w:val="00A069B4"/>
    <w:rsid w:val="00A17BE2"/>
    <w:rsid w:val="00A2716D"/>
    <w:rsid w:val="00A33392"/>
    <w:rsid w:val="00A35E87"/>
    <w:rsid w:val="00A426D8"/>
    <w:rsid w:val="00A44A4A"/>
    <w:rsid w:val="00A44F07"/>
    <w:rsid w:val="00A528A0"/>
    <w:rsid w:val="00A5459C"/>
    <w:rsid w:val="00A54E6E"/>
    <w:rsid w:val="00A67725"/>
    <w:rsid w:val="00A71131"/>
    <w:rsid w:val="00A8300C"/>
    <w:rsid w:val="00A876FB"/>
    <w:rsid w:val="00A90F6C"/>
    <w:rsid w:val="00A939A8"/>
    <w:rsid w:val="00A9407C"/>
    <w:rsid w:val="00AB0D81"/>
    <w:rsid w:val="00AB53FF"/>
    <w:rsid w:val="00AB7C60"/>
    <w:rsid w:val="00AD4AB4"/>
    <w:rsid w:val="00AE1B29"/>
    <w:rsid w:val="00AF3113"/>
    <w:rsid w:val="00AF7E08"/>
    <w:rsid w:val="00B0526D"/>
    <w:rsid w:val="00B12C46"/>
    <w:rsid w:val="00B17F21"/>
    <w:rsid w:val="00B201F4"/>
    <w:rsid w:val="00B209FF"/>
    <w:rsid w:val="00B21A42"/>
    <w:rsid w:val="00B24F7A"/>
    <w:rsid w:val="00B428AE"/>
    <w:rsid w:val="00B43992"/>
    <w:rsid w:val="00B45F8D"/>
    <w:rsid w:val="00B536DF"/>
    <w:rsid w:val="00B615D0"/>
    <w:rsid w:val="00B6723F"/>
    <w:rsid w:val="00B705CB"/>
    <w:rsid w:val="00B75B15"/>
    <w:rsid w:val="00B81611"/>
    <w:rsid w:val="00B84563"/>
    <w:rsid w:val="00B85420"/>
    <w:rsid w:val="00B86ACB"/>
    <w:rsid w:val="00B92AD7"/>
    <w:rsid w:val="00B9552C"/>
    <w:rsid w:val="00B9590F"/>
    <w:rsid w:val="00B95F45"/>
    <w:rsid w:val="00BA2968"/>
    <w:rsid w:val="00BA5907"/>
    <w:rsid w:val="00BB0367"/>
    <w:rsid w:val="00BC085B"/>
    <w:rsid w:val="00BC4DE6"/>
    <w:rsid w:val="00BD020B"/>
    <w:rsid w:val="00BD4D0F"/>
    <w:rsid w:val="00BF0EF3"/>
    <w:rsid w:val="00BF1CE5"/>
    <w:rsid w:val="00BF73C2"/>
    <w:rsid w:val="00C0192E"/>
    <w:rsid w:val="00C057E8"/>
    <w:rsid w:val="00C07637"/>
    <w:rsid w:val="00C105E1"/>
    <w:rsid w:val="00C14250"/>
    <w:rsid w:val="00C21BDA"/>
    <w:rsid w:val="00C318C6"/>
    <w:rsid w:val="00C34DB9"/>
    <w:rsid w:val="00C40440"/>
    <w:rsid w:val="00C472BE"/>
    <w:rsid w:val="00C5389E"/>
    <w:rsid w:val="00C53BC7"/>
    <w:rsid w:val="00C60319"/>
    <w:rsid w:val="00C61E8E"/>
    <w:rsid w:val="00C62AE7"/>
    <w:rsid w:val="00C64F53"/>
    <w:rsid w:val="00C700A5"/>
    <w:rsid w:val="00C72281"/>
    <w:rsid w:val="00C72CE6"/>
    <w:rsid w:val="00C741A1"/>
    <w:rsid w:val="00C77B09"/>
    <w:rsid w:val="00C81915"/>
    <w:rsid w:val="00C82FF7"/>
    <w:rsid w:val="00C8492C"/>
    <w:rsid w:val="00CA363D"/>
    <w:rsid w:val="00CA3C1E"/>
    <w:rsid w:val="00CB0497"/>
    <w:rsid w:val="00CB67F0"/>
    <w:rsid w:val="00CC0BE3"/>
    <w:rsid w:val="00CD1075"/>
    <w:rsid w:val="00CD34E1"/>
    <w:rsid w:val="00CD5892"/>
    <w:rsid w:val="00CE5A8A"/>
    <w:rsid w:val="00CF0070"/>
    <w:rsid w:val="00CF22C0"/>
    <w:rsid w:val="00D05047"/>
    <w:rsid w:val="00D13F15"/>
    <w:rsid w:val="00D22C30"/>
    <w:rsid w:val="00D267A2"/>
    <w:rsid w:val="00D30910"/>
    <w:rsid w:val="00D31795"/>
    <w:rsid w:val="00D44FB1"/>
    <w:rsid w:val="00D47067"/>
    <w:rsid w:val="00D52B0F"/>
    <w:rsid w:val="00D66575"/>
    <w:rsid w:val="00D734FE"/>
    <w:rsid w:val="00D83A89"/>
    <w:rsid w:val="00D87FC6"/>
    <w:rsid w:val="00D91269"/>
    <w:rsid w:val="00D95255"/>
    <w:rsid w:val="00DB48C6"/>
    <w:rsid w:val="00DB581C"/>
    <w:rsid w:val="00DB7FED"/>
    <w:rsid w:val="00DC3BE4"/>
    <w:rsid w:val="00DC4883"/>
    <w:rsid w:val="00DC5EC5"/>
    <w:rsid w:val="00DD5442"/>
    <w:rsid w:val="00DD746D"/>
    <w:rsid w:val="00DE09FC"/>
    <w:rsid w:val="00DE5817"/>
    <w:rsid w:val="00DF0458"/>
    <w:rsid w:val="00DF2018"/>
    <w:rsid w:val="00DF2037"/>
    <w:rsid w:val="00DF46AA"/>
    <w:rsid w:val="00DF6FCC"/>
    <w:rsid w:val="00DF6FE0"/>
    <w:rsid w:val="00E037B2"/>
    <w:rsid w:val="00E05077"/>
    <w:rsid w:val="00E05621"/>
    <w:rsid w:val="00E114B7"/>
    <w:rsid w:val="00E1281C"/>
    <w:rsid w:val="00E16D77"/>
    <w:rsid w:val="00E31EDD"/>
    <w:rsid w:val="00E322D6"/>
    <w:rsid w:val="00E339DB"/>
    <w:rsid w:val="00E42CCF"/>
    <w:rsid w:val="00E5340A"/>
    <w:rsid w:val="00E67889"/>
    <w:rsid w:val="00E742A4"/>
    <w:rsid w:val="00E77421"/>
    <w:rsid w:val="00E83CB9"/>
    <w:rsid w:val="00E87206"/>
    <w:rsid w:val="00E94525"/>
    <w:rsid w:val="00E94B55"/>
    <w:rsid w:val="00E956F0"/>
    <w:rsid w:val="00E96D10"/>
    <w:rsid w:val="00EA1C80"/>
    <w:rsid w:val="00EA1FF7"/>
    <w:rsid w:val="00EA36D4"/>
    <w:rsid w:val="00EA38DB"/>
    <w:rsid w:val="00EA6786"/>
    <w:rsid w:val="00EB0689"/>
    <w:rsid w:val="00EB71E2"/>
    <w:rsid w:val="00EB7BFE"/>
    <w:rsid w:val="00EE2E4B"/>
    <w:rsid w:val="00EE528F"/>
    <w:rsid w:val="00EF2DD4"/>
    <w:rsid w:val="00F009E3"/>
    <w:rsid w:val="00F127AE"/>
    <w:rsid w:val="00F12CFE"/>
    <w:rsid w:val="00F22C06"/>
    <w:rsid w:val="00F23DDC"/>
    <w:rsid w:val="00F26EB1"/>
    <w:rsid w:val="00F32ADE"/>
    <w:rsid w:val="00F34226"/>
    <w:rsid w:val="00F46744"/>
    <w:rsid w:val="00F50ADF"/>
    <w:rsid w:val="00F516FE"/>
    <w:rsid w:val="00F54DE5"/>
    <w:rsid w:val="00F62B36"/>
    <w:rsid w:val="00F63681"/>
    <w:rsid w:val="00F7296A"/>
    <w:rsid w:val="00F7319D"/>
    <w:rsid w:val="00F76708"/>
    <w:rsid w:val="00F86AC7"/>
    <w:rsid w:val="00F877B2"/>
    <w:rsid w:val="00F961A7"/>
    <w:rsid w:val="00F97DCB"/>
    <w:rsid w:val="00FA0327"/>
    <w:rsid w:val="00FA4405"/>
    <w:rsid w:val="00FB2013"/>
    <w:rsid w:val="00FD0D6D"/>
    <w:rsid w:val="00FE5EE1"/>
    <w:rsid w:val="010B378E"/>
    <w:rsid w:val="012652E7"/>
    <w:rsid w:val="02006FE5"/>
    <w:rsid w:val="021E1FFD"/>
    <w:rsid w:val="03064C45"/>
    <w:rsid w:val="037F009C"/>
    <w:rsid w:val="0385780C"/>
    <w:rsid w:val="03EA02BA"/>
    <w:rsid w:val="05BB66B7"/>
    <w:rsid w:val="05C3442A"/>
    <w:rsid w:val="061E1730"/>
    <w:rsid w:val="06643B6F"/>
    <w:rsid w:val="06EB6226"/>
    <w:rsid w:val="070A53FC"/>
    <w:rsid w:val="07156DDB"/>
    <w:rsid w:val="0734767C"/>
    <w:rsid w:val="07C33398"/>
    <w:rsid w:val="081034A8"/>
    <w:rsid w:val="085654C9"/>
    <w:rsid w:val="08645D4D"/>
    <w:rsid w:val="08E24A1C"/>
    <w:rsid w:val="096913F3"/>
    <w:rsid w:val="0AA8657C"/>
    <w:rsid w:val="0AD120E0"/>
    <w:rsid w:val="0C2F75B4"/>
    <w:rsid w:val="0C6E6B87"/>
    <w:rsid w:val="0C862F4A"/>
    <w:rsid w:val="0CC372C0"/>
    <w:rsid w:val="0CFC35CA"/>
    <w:rsid w:val="0D4C796B"/>
    <w:rsid w:val="0DBD3ABF"/>
    <w:rsid w:val="0E3F603C"/>
    <w:rsid w:val="0F613D48"/>
    <w:rsid w:val="0FAC529F"/>
    <w:rsid w:val="10EA4B83"/>
    <w:rsid w:val="11BA0D03"/>
    <w:rsid w:val="11D2279F"/>
    <w:rsid w:val="12474756"/>
    <w:rsid w:val="137B38C3"/>
    <w:rsid w:val="138E7C3C"/>
    <w:rsid w:val="144E2A0B"/>
    <w:rsid w:val="15B031EB"/>
    <w:rsid w:val="16605E07"/>
    <w:rsid w:val="16F94BBC"/>
    <w:rsid w:val="173210DC"/>
    <w:rsid w:val="177841F5"/>
    <w:rsid w:val="17963B85"/>
    <w:rsid w:val="17CF3989"/>
    <w:rsid w:val="18460C95"/>
    <w:rsid w:val="18951332"/>
    <w:rsid w:val="18991172"/>
    <w:rsid w:val="189E0C9F"/>
    <w:rsid w:val="18C8319C"/>
    <w:rsid w:val="19C1133D"/>
    <w:rsid w:val="19F6268F"/>
    <w:rsid w:val="1A27748C"/>
    <w:rsid w:val="1A7B6159"/>
    <w:rsid w:val="1BF02FCC"/>
    <w:rsid w:val="1C0414A1"/>
    <w:rsid w:val="1C0955AA"/>
    <w:rsid w:val="1D044D4D"/>
    <w:rsid w:val="1E255E4D"/>
    <w:rsid w:val="1E764D55"/>
    <w:rsid w:val="1ED94CE3"/>
    <w:rsid w:val="1F5E31D5"/>
    <w:rsid w:val="1F907FC2"/>
    <w:rsid w:val="1F9F4375"/>
    <w:rsid w:val="1FC60928"/>
    <w:rsid w:val="20626F2A"/>
    <w:rsid w:val="2090258D"/>
    <w:rsid w:val="20E0368B"/>
    <w:rsid w:val="213A26D8"/>
    <w:rsid w:val="21965F59"/>
    <w:rsid w:val="22142E21"/>
    <w:rsid w:val="2250559A"/>
    <w:rsid w:val="23292800"/>
    <w:rsid w:val="233827D3"/>
    <w:rsid w:val="240B2444"/>
    <w:rsid w:val="244B0412"/>
    <w:rsid w:val="244D4078"/>
    <w:rsid w:val="247D75B6"/>
    <w:rsid w:val="25943C77"/>
    <w:rsid w:val="25DA745E"/>
    <w:rsid w:val="263E533C"/>
    <w:rsid w:val="26893F62"/>
    <w:rsid w:val="27BF5BC5"/>
    <w:rsid w:val="280E6065"/>
    <w:rsid w:val="29014A40"/>
    <w:rsid w:val="2B8D5572"/>
    <w:rsid w:val="2BB34BE1"/>
    <w:rsid w:val="2C993F61"/>
    <w:rsid w:val="2CD71A4C"/>
    <w:rsid w:val="2D8C27FC"/>
    <w:rsid w:val="2DEF480F"/>
    <w:rsid w:val="2E332516"/>
    <w:rsid w:val="2F771945"/>
    <w:rsid w:val="2F993852"/>
    <w:rsid w:val="2FEE70AC"/>
    <w:rsid w:val="2FF14922"/>
    <w:rsid w:val="30D64059"/>
    <w:rsid w:val="317D4ADA"/>
    <w:rsid w:val="31E350E0"/>
    <w:rsid w:val="325337A9"/>
    <w:rsid w:val="32BE13A1"/>
    <w:rsid w:val="342C737F"/>
    <w:rsid w:val="3498562E"/>
    <w:rsid w:val="34B76166"/>
    <w:rsid w:val="34BC2E0A"/>
    <w:rsid w:val="35131071"/>
    <w:rsid w:val="35804ED8"/>
    <w:rsid w:val="3596098E"/>
    <w:rsid w:val="35F32B65"/>
    <w:rsid w:val="3615755C"/>
    <w:rsid w:val="36581954"/>
    <w:rsid w:val="36625A95"/>
    <w:rsid w:val="36974C5D"/>
    <w:rsid w:val="37A3373E"/>
    <w:rsid w:val="37C8031E"/>
    <w:rsid w:val="37CA12F8"/>
    <w:rsid w:val="38C2425D"/>
    <w:rsid w:val="393B5BFC"/>
    <w:rsid w:val="399470B0"/>
    <w:rsid w:val="39BF18AF"/>
    <w:rsid w:val="3AB40B45"/>
    <w:rsid w:val="3B3072AF"/>
    <w:rsid w:val="3B6B6C75"/>
    <w:rsid w:val="3BE31C19"/>
    <w:rsid w:val="3C2F6AE7"/>
    <w:rsid w:val="3DA91AF3"/>
    <w:rsid w:val="3DB904FC"/>
    <w:rsid w:val="3DC52167"/>
    <w:rsid w:val="3F751B69"/>
    <w:rsid w:val="3F9E44E2"/>
    <w:rsid w:val="3FCA4983"/>
    <w:rsid w:val="3FD93DD4"/>
    <w:rsid w:val="414F467A"/>
    <w:rsid w:val="417B7679"/>
    <w:rsid w:val="421D67D5"/>
    <w:rsid w:val="422C054D"/>
    <w:rsid w:val="42920E41"/>
    <w:rsid w:val="435F6E47"/>
    <w:rsid w:val="43B649E5"/>
    <w:rsid w:val="43ED4A5C"/>
    <w:rsid w:val="43F6419D"/>
    <w:rsid w:val="440840FB"/>
    <w:rsid w:val="4426412E"/>
    <w:rsid w:val="444F2EBB"/>
    <w:rsid w:val="44AB28FF"/>
    <w:rsid w:val="44F15FB2"/>
    <w:rsid w:val="46FF4898"/>
    <w:rsid w:val="485577AA"/>
    <w:rsid w:val="487215B5"/>
    <w:rsid w:val="48820F0B"/>
    <w:rsid w:val="4960131C"/>
    <w:rsid w:val="497B4566"/>
    <w:rsid w:val="49C72DFA"/>
    <w:rsid w:val="49D00EDC"/>
    <w:rsid w:val="4AAB5413"/>
    <w:rsid w:val="4ACB57BB"/>
    <w:rsid w:val="4ADF7445"/>
    <w:rsid w:val="4B0057C6"/>
    <w:rsid w:val="4B0B0CBB"/>
    <w:rsid w:val="4B234379"/>
    <w:rsid w:val="4B884E7D"/>
    <w:rsid w:val="4B895892"/>
    <w:rsid w:val="4BA12BC2"/>
    <w:rsid w:val="4BA4236D"/>
    <w:rsid w:val="4BB11181"/>
    <w:rsid w:val="4BB94F3A"/>
    <w:rsid w:val="4BD03657"/>
    <w:rsid w:val="4BD54F8B"/>
    <w:rsid w:val="4CC90F7F"/>
    <w:rsid w:val="4DB05E8F"/>
    <w:rsid w:val="4EDE77F9"/>
    <w:rsid w:val="4EE74C11"/>
    <w:rsid w:val="4EF7531A"/>
    <w:rsid w:val="51180382"/>
    <w:rsid w:val="51654E4D"/>
    <w:rsid w:val="516B77AB"/>
    <w:rsid w:val="52327E12"/>
    <w:rsid w:val="525A55E6"/>
    <w:rsid w:val="530A7016"/>
    <w:rsid w:val="535328F8"/>
    <w:rsid w:val="539527F6"/>
    <w:rsid w:val="53BF464B"/>
    <w:rsid w:val="54200131"/>
    <w:rsid w:val="542058BA"/>
    <w:rsid w:val="543D43D9"/>
    <w:rsid w:val="54801E74"/>
    <w:rsid w:val="54A83229"/>
    <w:rsid w:val="55713EDE"/>
    <w:rsid w:val="55B22A5F"/>
    <w:rsid w:val="55BF6B8C"/>
    <w:rsid w:val="57604ED3"/>
    <w:rsid w:val="57D10F38"/>
    <w:rsid w:val="58BC696B"/>
    <w:rsid w:val="590D2F5D"/>
    <w:rsid w:val="5A164A9C"/>
    <w:rsid w:val="5AD70A5C"/>
    <w:rsid w:val="5AE84BDF"/>
    <w:rsid w:val="5B0D5237"/>
    <w:rsid w:val="5B2A54DC"/>
    <w:rsid w:val="5BB754ED"/>
    <w:rsid w:val="5CCE1030"/>
    <w:rsid w:val="5E1E1DB6"/>
    <w:rsid w:val="5EDE5772"/>
    <w:rsid w:val="5EE0722F"/>
    <w:rsid w:val="5F7350F9"/>
    <w:rsid w:val="5F815A99"/>
    <w:rsid w:val="5FDA1B95"/>
    <w:rsid w:val="604E3BB5"/>
    <w:rsid w:val="60A22BC7"/>
    <w:rsid w:val="60B541CB"/>
    <w:rsid w:val="61FF490B"/>
    <w:rsid w:val="620573B5"/>
    <w:rsid w:val="63511973"/>
    <w:rsid w:val="63A07EF4"/>
    <w:rsid w:val="64961FBB"/>
    <w:rsid w:val="64EC4E7C"/>
    <w:rsid w:val="65145CC7"/>
    <w:rsid w:val="654D7880"/>
    <w:rsid w:val="66AC7F08"/>
    <w:rsid w:val="671900F2"/>
    <w:rsid w:val="67801BD3"/>
    <w:rsid w:val="67CF3B56"/>
    <w:rsid w:val="67E100C0"/>
    <w:rsid w:val="68571B09"/>
    <w:rsid w:val="685E4649"/>
    <w:rsid w:val="68D31DA2"/>
    <w:rsid w:val="69AA62CD"/>
    <w:rsid w:val="69E1417A"/>
    <w:rsid w:val="6A9E39EC"/>
    <w:rsid w:val="6AD81F1B"/>
    <w:rsid w:val="6B2C31C5"/>
    <w:rsid w:val="6B350606"/>
    <w:rsid w:val="6C5B2320"/>
    <w:rsid w:val="6DBD4A3C"/>
    <w:rsid w:val="6ED528EA"/>
    <w:rsid w:val="6F01425A"/>
    <w:rsid w:val="6F2F5730"/>
    <w:rsid w:val="6FE67779"/>
    <w:rsid w:val="70123205"/>
    <w:rsid w:val="704C3C00"/>
    <w:rsid w:val="708948E8"/>
    <w:rsid w:val="71173FC8"/>
    <w:rsid w:val="71E546D2"/>
    <w:rsid w:val="71EE1406"/>
    <w:rsid w:val="720248F6"/>
    <w:rsid w:val="72526A98"/>
    <w:rsid w:val="72DC679D"/>
    <w:rsid w:val="73C756E9"/>
    <w:rsid w:val="74421BF7"/>
    <w:rsid w:val="74E13026"/>
    <w:rsid w:val="757D3605"/>
    <w:rsid w:val="76042A37"/>
    <w:rsid w:val="765251F9"/>
    <w:rsid w:val="777F7817"/>
    <w:rsid w:val="786F4E9D"/>
    <w:rsid w:val="78927E66"/>
    <w:rsid w:val="78CC3B41"/>
    <w:rsid w:val="78D37DA4"/>
    <w:rsid w:val="795D3EC9"/>
    <w:rsid w:val="799300F9"/>
    <w:rsid w:val="7A30465D"/>
    <w:rsid w:val="7A935895"/>
    <w:rsid w:val="7A9467D0"/>
    <w:rsid w:val="7AB72BBD"/>
    <w:rsid w:val="7B2F692A"/>
    <w:rsid w:val="7B3339F3"/>
    <w:rsid w:val="7C715D67"/>
    <w:rsid w:val="7CE57142"/>
    <w:rsid w:val="7D3A42F6"/>
    <w:rsid w:val="7DCA4CC8"/>
    <w:rsid w:val="7E2E6BE1"/>
    <w:rsid w:val="7E603836"/>
    <w:rsid w:val="7EBF13BD"/>
    <w:rsid w:val="7F664B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unhideWhenUsed="0" w:qFormat="1"/>
    <w:lsdException w:name="Strong" w:semiHidden="0" w:uiPriority="22" w:unhideWhenUsed="0" w:qFormat="1"/>
    <w:lsdException w:name="Emphasis" w:locked="1" w:semiHidden="0" w:uiPriority="20" w:unhideWhenUsed="0" w:qFormat="1"/>
    <w:lsdException w:name="Document Map" w:qFormat="1"/>
    <w:lsdException w:name="Normal (Web)" w:unhideWhenUsed="0" w:qFormat="1"/>
    <w:lsdException w:name="Normal Table"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88"/>
    <w:rPr>
      <w:rFonts w:ascii="华文宋体" w:eastAsia="华文宋体" w:hAnsi="华文宋体"/>
      <w:sz w:val="24"/>
    </w:rPr>
  </w:style>
  <w:style w:type="paragraph" w:styleId="1">
    <w:name w:val="heading 1"/>
    <w:basedOn w:val="a"/>
    <w:next w:val="a"/>
    <w:link w:val="1Char"/>
    <w:uiPriority w:val="99"/>
    <w:qFormat/>
    <w:rsid w:val="00676B88"/>
    <w:pPr>
      <w:keepNext/>
      <w:keepLines/>
      <w:widowControl w:val="0"/>
      <w:spacing w:before="340" w:after="330" w:line="578" w:lineRule="auto"/>
      <w:jc w:val="both"/>
      <w:outlineLvl w:val="0"/>
    </w:pPr>
    <w:rPr>
      <w:rFonts w:ascii="Times New Roman" w:eastAsia="宋体" w:hAnsi="Times New Roman"/>
      <w:b/>
      <w:bCs/>
      <w:color w:val="00000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676B88"/>
    <w:rPr>
      <w:rFonts w:ascii="宋体" w:eastAsia="宋体"/>
      <w:sz w:val="18"/>
      <w:szCs w:val="18"/>
    </w:rPr>
  </w:style>
  <w:style w:type="paragraph" w:styleId="a4">
    <w:name w:val="Balloon Text"/>
    <w:basedOn w:val="a"/>
    <w:link w:val="Char0"/>
    <w:uiPriority w:val="99"/>
    <w:semiHidden/>
    <w:unhideWhenUsed/>
    <w:qFormat/>
    <w:rsid w:val="00676B88"/>
    <w:rPr>
      <w:sz w:val="18"/>
      <w:szCs w:val="18"/>
    </w:rPr>
  </w:style>
  <w:style w:type="paragraph" w:styleId="a5">
    <w:name w:val="footer"/>
    <w:basedOn w:val="a"/>
    <w:link w:val="Char1"/>
    <w:uiPriority w:val="99"/>
    <w:qFormat/>
    <w:rsid w:val="00676B88"/>
    <w:pPr>
      <w:tabs>
        <w:tab w:val="center" w:pos="4153"/>
        <w:tab w:val="right" w:pos="8306"/>
      </w:tabs>
      <w:snapToGrid w:val="0"/>
    </w:pPr>
    <w:rPr>
      <w:sz w:val="18"/>
      <w:szCs w:val="18"/>
    </w:rPr>
  </w:style>
  <w:style w:type="paragraph" w:styleId="a6">
    <w:name w:val="header"/>
    <w:basedOn w:val="a"/>
    <w:link w:val="Char2"/>
    <w:uiPriority w:val="99"/>
    <w:semiHidden/>
    <w:unhideWhenUsed/>
    <w:qFormat/>
    <w:rsid w:val="00676B8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qFormat/>
    <w:rsid w:val="00676B88"/>
    <w:pPr>
      <w:spacing w:beforeAutospacing="1" w:afterAutospacing="1"/>
    </w:pPr>
  </w:style>
  <w:style w:type="character" w:styleId="a8">
    <w:name w:val="Strong"/>
    <w:basedOn w:val="a0"/>
    <w:uiPriority w:val="22"/>
    <w:qFormat/>
    <w:rsid w:val="00676B88"/>
    <w:rPr>
      <w:rFonts w:cs="Times New Roman"/>
      <w:b/>
    </w:rPr>
  </w:style>
  <w:style w:type="character" w:styleId="a9">
    <w:name w:val="page number"/>
    <w:basedOn w:val="a0"/>
    <w:uiPriority w:val="99"/>
    <w:qFormat/>
    <w:rsid w:val="00676B88"/>
    <w:rPr>
      <w:rFonts w:cs="Times New Roman"/>
    </w:rPr>
  </w:style>
  <w:style w:type="character" w:styleId="aa">
    <w:name w:val="Emphasis"/>
    <w:basedOn w:val="a0"/>
    <w:uiPriority w:val="20"/>
    <w:qFormat/>
    <w:locked/>
    <w:rsid w:val="00676B88"/>
    <w:rPr>
      <w:i/>
      <w:iCs/>
    </w:rPr>
  </w:style>
  <w:style w:type="character" w:styleId="ab">
    <w:name w:val="Hyperlink"/>
    <w:basedOn w:val="a0"/>
    <w:uiPriority w:val="99"/>
    <w:semiHidden/>
    <w:qFormat/>
    <w:rsid w:val="00676B88"/>
    <w:rPr>
      <w:rFonts w:cs="Times New Roman"/>
      <w:color w:val="0000FF"/>
      <w:u w:val="single"/>
    </w:rPr>
  </w:style>
  <w:style w:type="character" w:customStyle="1" w:styleId="1Char">
    <w:name w:val="标题 1 Char"/>
    <w:basedOn w:val="a0"/>
    <w:link w:val="1"/>
    <w:uiPriority w:val="99"/>
    <w:qFormat/>
    <w:locked/>
    <w:rsid w:val="00676B88"/>
    <w:rPr>
      <w:rFonts w:ascii="Times New Roman" w:eastAsia="宋体" w:hAnsi="Times New Roman" w:cs="Times New Roman"/>
      <w:b/>
      <w:bCs/>
      <w:color w:val="000000"/>
      <w:kern w:val="44"/>
      <w:sz w:val="44"/>
      <w:szCs w:val="44"/>
    </w:rPr>
  </w:style>
  <w:style w:type="character" w:customStyle="1" w:styleId="Char1">
    <w:name w:val="页脚 Char"/>
    <w:basedOn w:val="a0"/>
    <w:link w:val="a5"/>
    <w:uiPriority w:val="99"/>
    <w:semiHidden/>
    <w:qFormat/>
    <w:locked/>
    <w:rsid w:val="00676B88"/>
    <w:rPr>
      <w:rFonts w:ascii="华文宋体" w:eastAsia="华文宋体" w:hAnsi="华文宋体" w:cs="Times New Roman"/>
      <w:kern w:val="0"/>
      <w:sz w:val="18"/>
      <w:szCs w:val="18"/>
    </w:rPr>
  </w:style>
  <w:style w:type="character" w:customStyle="1" w:styleId="Char2">
    <w:name w:val="页眉 Char"/>
    <w:basedOn w:val="a0"/>
    <w:link w:val="a6"/>
    <w:uiPriority w:val="99"/>
    <w:semiHidden/>
    <w:qFormat/>
    <w:rsid w:val="00676B88"/>
    <w:rPr>
      <w:rFonts w:ascii="华文宋体" w:eastAsia="华文宋体" w:hAnsi="华文宋体"/>
      <w:kern w:val="0"/>
      <w:sz w:val="18"/>
      <w:szCs w:val="18"/>
    </w:rPr>
  </w:style>
  <w:style w:type="character" w:customStyle="1" w:styleId="Char0">
    <w:name w:val="批注框文本 Char"/>
    <w:basedOn w:val="a0"/>
    <w:link w:val="a4"/>
    <w:uiPriority w:val="99"/>
    <w:semiHidden/>
    <w:qFormat/>
    <w:rsid w:val="00676B88"/>
    <w:rPr>
      <w:rFonts w:ascii="华文宋体" w:eastAsia="华文宋体" w:hAnsi="华文宋体"/>
      <w:sz w:val="18"/>
      <w:szCs w:val="18"/>
    </w:rPr>
  </w:style>
  <w:style w:type="paragraph" w:styleId="ac">
    <w:name w:val="List Paragraph"/>
    <w:basedOn w:val="a"/>
    <w:uiPriority w:val="99"/>
    <w:unhideWhenUsed/>
    <w:qFormat/>
    <w:rsid w:val="00676B88"/>
    <w:pPr>
      <w:ind w:firstLineChars="200" w:firstLine="420"/>
    </w:pPr>
  </w:style>
  <w:style w:type="character" w:customStyle="1" w:styleId="Char">
    <w:name w:val="文档结构图 Char"/>
    <w:basedOn w:val="a0"/>
    <w:link w:val="a3"/>
    <w:uiPriority w:val="99"/>
    <w:semiHidden/>
    <w:qFormat/>
    <w:rsid w:val="00676B88"/>
    <w:rPr>
      <w:rFonts w:ascii="宋体" w:hAnsi="华文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2021&#24180;&#34892;&#19994;&#21457;&#23637;&#25253;&#21578;\&#21046;&#349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2021&#24180;&#34892;&#19994;&#21457;&#23637;&#25253;&#21578;\&#21046;&#3492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2021&#24180;&#34892;&#19994;&#21457;&#23637;&#25253;&#21578;\&#21046;&#349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5"/>
  <c:chart>
    <c:autoTitleDeleted val="1"/>
    <c:plotArea>
      <c:layout/>
      <c:barChart>
        <c:barDir val="col"/>
        <c:grouping val="clustered"/>
        <c:ser>
          <c:idx val="0"/>
          <c:order val="0"/>
          <c:tx>
            <c:strRef>
              <c:f>Sheet1!$E$1</c:f>
              <c:strCache>
                <c:ptCount val="1"/>
                <c:pt idx="0">
                  <c:v>混凝土产量（立方米）</c:v>
                </c:pt>
              </c:strCache>
            </c:strRef>
          </c:tx>
          <c:dLbls>
            <c:showVal val="1"/>
          </c:dLbls>
          <c:cat>
            <c:strRef>
              <c:f>Sheet1!$A$2:$A$6</c:f>
              <c:strCache>
                <c:ptCount val="5"/>
                <c:pt idx="0">
                  <c:v>2017年</c:v>
                </c:pt>
                <c:pt idx="1">
                  <c:v>2018年</c:v>
                </c:pt>
                <c:pt idx="2">
                  <c:v>2019年</c:v>
                </c:pt>
                <c:pt idx="3">
                  <c:v>2020年</c:v>
                </c:pt>
                <c:pt idx="4">
                  <c:v>2021年</c:v>
                </c:pt>
              </c:strCache>
            </c:strRef>
          </c:cat>
          <c:val>
            <c:numRef>
              <c:f>Sheet1!$E$2:$E$6</c:f>
              <c:numCache>
                <c:formatCode>General</c:formatCode>
                <c:ptCount val="5"/>
                <c:pt idx="0">
                  <c:v>23292</c:v>
                </c:pt>
                <c:pt idx="1">
                  <c:v>26381</c:v>
                </c:pt>
                <c:pt idx="2">
                  <c:v>28182</c:v>
                </c:pt>
                <c:pt idx="3">
                  <c:v>30394</c:v>
                </c:pt>
                <c:pt idx="4">
                  <c:v>31436</c:v>
                </c:pt>
              </c:numCache>
            </c:numRef>
          </c:val>
        </c:ser>
        <c:dLbls>
          <c:showVal val="1"/>
        </c:dLbls>
        <c:gapWidth val="75"/>
        <c:axId val="181729920"/>
        <c:axId val="181844224"/>
      </c:barChart>
      <c:catAx>
        <c:axId val="181729920"/>
        <c:scaling>
          <c:orientation val="minMax"/>
        </c:scaling>
        <c:axPos val="b"/>
        <c:majorTickMark val="none"/>
        <c:tickLblPos val="nextTo"/>
        <c:crossAx val="181844224"/>
        <c:crosses val="autoZero"/>
        <c:auto val="1"/>
        <c:lblAlgn val="ctr"/>
        <c:lblOffset val="100"/>
      </c:catAx>
      <c:valAx>
        <c:axId val="181844224"/>
        <c:scaling>
          <c:orientation val="minMax"/>
        </c:scaling>
        <c:axPos val="l"/>
        <c:numFmt formatCode="General" sourceLinked="1"/>
        <c:majorTickMark val="none"/>
        <c:tickLblPos val="nextTo"/>
        <c:crossAx val="181729920"/>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企业数量（个）</c:v>
                </c:pt>
              </c:strCache>
            </c:strRef>
          </c:tx>
          <c:dLbls>
            <c:showVal val="1"/>
          </c:dLbls>
          <c:cat>
            <c:strRef>
              <c:f>Sheet1!$A$2:$A$6</c:f>
              <c:strCache>
                <c:ptCount val="5"/>
                <c:pt idx="0">
                  <c:v>2017年</c:v>
                </c:pt>
                <c:pt idx="1">
                  <c:v>2018年</c:v>
                </c:pt>
                <c:pt idx="2">
                  <c:v>2019年</c:v>
                </c:pt>
                <c:pt idx="3">
                  <c:v>2020年</c:v>
                </c:pt>
                <c:pt idx="4">
                  <c:v>2021年</c:v>
                </c:pt>
              </c:strCache>
            </c:strRef>
          </c:cat>
          <c:val>
            <c:numRef>
              <c:f>Sheet1!$B$2:$B$6</c:f>
              <c:numCache>
                <c:formatCode>General</c:formatCode>
                <c:ptCount val="5"/>
                <c:pt idx="0">
                  <c:v>934</c:v>
                </c:pt>
                <c:pt idx="1">
                  <c:v>975</c:v>
                </c:pt>
                <c:pt idx="2">
                  <c:v>993</c:v>
                </c:pt>
                <c:pt idx="3">
                  <c:v>1008</c:v>
                </c:pt>
                <c:pt idx="4">
                  <c:v>1064</c:v>
                </c:pt>
              </c:numCache>
            </c:numRef>
          </c:val>
        </c:ser>
        <c:dLbls>
          <c:showVal val="1"/>
        </c:dLbls>
        <c:gapWidth val="75"/>
        <c:axId val="181383552"/>
        <c:axId val="181385088"/>
      </c:barChart>
      <c:catAx>
        <c:axId val="181383552"/>
        <c:scaling>
          <c:orientation val="minMax"/>
        </c:scaling>
        <c:axPos val="b"/>
        <c:majorTickMark val="none"/>
        <c:tickLblPos val="nextTo"/>
        <c:crossAx val="181385088"/>
        <c:crosses val="autoZero"/>
        <c:auto val="1"/>
        <c:lblAlgn val="ctr"/>
        <c:lblOffset val="100"/>
      </c:catAx>
      <c:valAx>
        <c:axId val="181385088"/>
        <c:scaling>
          <c:orientation val="minMax"/>
        </c:scaling>
        <c:axPos val="l"/>
        <c:numFmt formatCode="General" sourceLinked="1"/>
        <c:majorTickMark val="none"/>
        <c:tickLblPos val="nextTo"/>
        <c:crossAx val="181383552"/>
        <c:crosses val="autoZero"/>
        <c:crossBetween val="between"/>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6.1414696804007525E-2"/>
          <c:y val="1.4984701497948191E-2"/>
          <c:w val="0.91439785331621004"/>
          <c:h val="0.8318937757089756"/>
        </c:manualLayout>
      </c:layout>
      <c:barChart>
        <c:barDir val="col"/>
        <c:grouping val="clustered"/>
        <c:ser>
          <c:idx val="0"/>
          <c:order val="0"/>
          <c:tx>
            <c:strRef>
              <c:f>Sheet3!$C$1</c:f>
              <c:strCache>
                <c:ptCount val="1"/>
                <c:pt idx="0">
                  <c:v>混凝土设计能力</c:v>
                </c:pt>
              </c:strCache>
            </c:strRef>
          </c:tx>
          <c:dLbls>
            <c:showVal val="1"/>
          </c:dLbls>
          <c:cat>
            <c:strRef>
              <c:f>Sheet3!$B$2:$B$14</c:f>
              <c:strCache>
                <c:ptCount val="13"/>
                <c:pt idx="0">
                  <c:v>南京</c:v>
                </c:pt>
                <c:pt idx="1">
                  <c:v>镇江</c:v>
                </c:pt>
                <c:pt idx="2">
                  <c:v>常州</c:v>
                </c:pt>
                <c:pt idx="3">
                  <c:v>无锡</c:v>
                </c:pt>
                <c:pt idx="4">
                  <c:v>苏州</c:v>
                </c:pt>
                <c:pt idx="5">
                  <c:v>南通</c:v>
                </c:pt>
                <c:pt idx="6">
                  <c:v>扬州</c:v>
                </c:pt>
                <c:pt idx="7">
                  <c:v>泰州</c:v>
                </c:pt>
                <c:pt idx="8">
                  <c:v>淮安</c:v>
                </c:pt>
                <c:pt idx="9">
                  <c:v>盐城</c:v>
                </c:pt>
                <c:pt idx="10">
                  <c:v>徐州</c:v>
                </c:pt>
                <c:pt idx="11">
                  <c:v>宿迁</c:v>
                </c:pt>
                <c:pt idx="12">
                  <c:v>连云港</c:v>
                </c:pt>
              </c:strCache>
            </c:strRef>
          </c:cat>
          <c:val>
            <c:numRef>
              <c:f>Sheet3!$C$2:$C$14</c:f>
              <c:numCache>
                <c:formatCode>General</c:formatCode>
                <c:ptCount val="13"/>
                <c:pt idx="0">
                  <c:v>13000</c:v>
                </c:pt>
                <c:pt idx="1">
                  <c:v>3080</c:v>
                </c:pt>
                <c:pt idx="2">
                  <c:v>6730</c:v>
                </c:pt>
                <c:pt idx="3">
                  <c:v>6347</c:v>
                </c:pt>
                <c:pt idx="4">
                  <c:v>14115</c:v>
                </c:pt>
                <c:pt idx="5">
                  <c:v>6860</c:v>
                </c:pt>
                <c:pt idx="6">
                  <c:v>5140</c:v>
                </c:pt>
                <c:pt idx="7">
                  <c:v>5345</c:v>
                </c:pt>
                <c:pt idx="8">
                  <c:v>4333</c:v>
                </c:pt>
                <c:pt idx="9">
                  <c:v>9960</c:v>
                </c:pt>
                <c:pt idx="10">
                  <c:v>7135</c:v>
                </c:pt>
                <c:pt idx="11">
                  <c:v>5440</c:v>
                </c:pt>
                <c:pt idx="12">
                  <c:v>2740</c:v>
                </c:pt>
              </c:numCache>
            </c:numRef>
          </c:val>
        </c:ser>
        <c:ser>
          <c:idx val="1"/>
          <c:order val="1"/>
          <c:tx>
            <c:strRef>
              <c:f>Sheet3!$E$1</c:f>
              <c:strCache>
                <c:ptCount val="1"/>
                <c:pt idx="0">
                  <c:v>混凝土实际产量</c:v>
                </c:pt>
              </c:strCache>
            </c:strRef>
          </c:tx>
          <c:spPr>
            <a:solidFill>
              <a:schemeClr val="accent2"/>
            </a:solidFill>
          </c:spPr>
          <c:dLbls>
            <c:showVal val="1"/>
          </c:dLbls>
          <c:cat>
            <c:strRef>
              <c:f>Sheet3!$B$2:$B$14</c:f>
              <c:strCache>
                <c:ptCount val="13"/>
                <c:pt idx="0">
                  <c:v>南京</c:v>
                </c:pt>
                <c:pt idx="1">
                  <c:v>镇江</c:v>
                </c:pt>
                <c:pt idx="2">
                  <c:v>常州</c:v>
                </c:pt>
                <c:pt idx="3">
                  <c:v>无锡</c:v>
                </c:pt>
                <c:pt idx="4">
                  <c:v>苏州</c:v>
                </c:pt>
                <c:pt idx="5">
                  <c:v>南通</c:v>
                </c:pt>
                <c:pt idx="6">
                  <c:v>扬州</c:v>
                </c:pt>
                <c:pt idx="7">
                  <c:v>泰州</c:v>
                </c:pt>
                <c:pt idx="8">
                  <c:v>淮安</c:v>
                </c:pt>
                <c:pt idx="9">
                  <c:v>盐城</c:v>
                </c:pt>
                <c:pt idx="10">
                  <c:v>徐州</c:v>
                </c:pt>
                <c:pt idx="11">
                  <c:v>宿迁</c:v>
                </c:pt>
                <c:pt idx="12">
                  <c:v>连云港</c:v>
                </c:pt>
              </c:strCache>
            </c:strRef>
          </c:cat>
          <c:val>
            <c:numRef>
              <c:f>Sheet3!$E$2:$E$14</c:f>
              <c:numCache>
                <c:formatCode>General</c:formatCode>
                <c:ptCount val="13"/>
                <c:pt idx="0">
                  <c:v>4500</c:v>
                </c:pt>
                <c:pt idx="1">
                  <c:v>1000</c:v>
                </c:pt>
                <c:pt idx="2">
                  <c:v>2445</c:v>
                </c:pt>
                <c:pt idx="3">
                  <c:v>2612</c:v>
                </c:pt>
                <c:pt idx="4">
                  <c:v>6339.44</c:v>
                </c:pt>
                <c:pt idx="5">
                  <c:v>2930</c:v>
                </c:pt>
                <c:pt idx="6">
                  <c:v>1245</c:v>
                </c:pt>
                <c:pt idx="7">
                  <c:v>1495.82</c:v>
                </c:pt>
                <c:pt idx="8">
                  <c:v>1430.6299999999999</c:v>
                </c:pt>
                <c:pt idx="9">
                  <c:v>3365</c:v>
                </c:pt>
                <c:pt idx="10">
                  <c:v>2515.8000000000002</c:v>
                </c:pt>
                <c:pt idx="11">
                  <c:v>1307.6599999999999</c:v>
                </c:pt>
                <c:pt idx="12">
                  <c:v>1250</c:v>
                </c:pt>
              </c:numCache>
            </c:numRef>
          </c:val>
        </c:ser>
        <c:dLbls>
          <c:showVal val="1"/>
        </c:dLbls>
        <c:gapWidth val="75"/>
        <c:axId val="181475584"/>
        <c:axId val="181489664"/>
      </c:barChart>
      <c:lineChart>
        <c:grouping val="standard"/>
        <c:ser>
          <c:idx val="2"/>
          <c:order val="2"/>
          <c:tx>
            <c:strRef>
              <c:f>Sheet3!$D$1</c:f>
              <c:strCache>
                <c:ptCount val="1"/>
                <c:pt idx="0">
                  <c:v>比上年增加百分比（%）</c:v>
                </c:pt>
              </c:strCache>
            </c:strRef>
          </c:tx>
          <c:marker>
            <c:symbol val="square"/>
            <c:size val="3"/>
            <c:spPr>
              <a:solidFill>
                <a:sysClr val="windowText" lastClr="000000">
                  <a:alpha val="99000"/>
                </a:sysClr>
              </a:solidFill>
            </c:spPr>
          </c:marker>
          <c:dLbls>
            <c:showVal val="1"/>
          </c:dLbls>
          <c:cat>
            <c:strRef>
              <c:f>Sheet3!$B$2:$B$14</c:f>
              <c:strCache>
                <c:ptCount val="13"/>
                <c:pt idx="0">
                  <c:v>南京</c:v>
                </c:pt>
                <c:pt idx="1">
                  <c:v>镇江</c:v>
                </c:pt>
                <c:pt idx="2">
                  <c:v>常州</c:v>
                </c:pt>
                <c:pt idx="3">
                  <c:v>无锡</c:v>
                </c:pt>
                <c:pt idx="4">
                  <c:v>苏州</c:v>
                </c:pt>
                <c:pt idx="5">
                  <c:v>南通</c:v>
                </c:pt>
                <c:pt idx="6">
                  <c:v>扬州</c:v>
                </c:pt>
                <c:pt idx="7">
                  <c:v>泰州</c:v>
                </c:pt>
                <c:pt idx="8">
                  <c:v>淮安</c:v>
                </c:pt>
                <c:pt idx="9">
                  <c:v>盐城</c:v>
                </c:pt>
                <c:pt idx="10">
                  <c:v>徐州</c:v>
                </c:pt>
                <c:pt idx="11">
                  <c:v>宿迁</c:v>
                </c:pt>
                <c:pt idx="12">
                  <c:v>连云港</c:v>
                </c:pt>
              </c:strCache>
            </c:strRef>
          </c:cat>
          <c:val>
            <c:numRef>
              <c:f>Sheet3!$D$2:$D$14</c:f>
              <c:numCache>
                <c:formatCode>General</c:formatCode>
                <c:ptCount val="13"/>
                <c:pt idx="0">
                  <c:v>6.25</c:v>
                </c:pt>
                <c:pt idx="1">
                  <c:v>0</c:v>
                </c:pt>
                <c:pt idx="2">
                  <c:v>9.6</c:v>
                </c:pt>
                <c:pt idx="3">
                  <c:v>26.9</c:v>
                </c:pt>
                <c:pt idx="4">
                  <c:v>6.9</c:v>
                </c:pt>
                <c:pt idx="5">
                  <c:v>1.33</c:v>
                </c:pt>
                <c:pt idx="6">
                  <c:v>6</c:v>
                </c:pt>
                <c:pt idx="7">
                  <c:v>-5.3</c:v>
                </c:pt>
                <c:pt idx="8">
                  <c:v>-3.71</c:v>
                </c:pt>
                <c:pt idx="9">
                  <c:v>29.9</c:v>
                </c:pt>
                <c:pt idx="10">
                  <c:v>21.34</c:v>
                </c:pt>
                <c:pt idx="11">
                  <c:v>-8.58</c:v>
                </c:pt>
                <c:pt idx="12">
                  <c:v>0</c:v>
                </c:pt>
              </c:numCache>
            </c:numRef>
          </c:val>
        </c:ser>
        <c:ser>
          <c:idx val="3"/>
          <c:order val="3"/>
          <c:tx>
            <c:strRef>
              <c:f>Sheet3!$F$1</c:f>
              <c:strCache>
                <c:ptCount val="1"/>
                <c:pt idx="0">
                  <c:v>比上年增加百分比（%）</c:v>
                </c:pt>
              </c:strCache>
            </c:strRef>
          </c:tx>
          <c:marker>
            <c:symbol val="x"/>
            <c:size val="3"/>
            <c:spPr>
              <a:solidFill>
                <a:sysClr val="windowText" lastClr="000000">
                  <a:alpha val="97000"/>
                </a:sysClr>
              </a:solidFill>
              <a:ln cap="sq"/>
            </c:spPr>
          </c:marker>
          <c:dLbls>
            <c:showVal val="1"/>
          </c:dLbls>
          <c:cat>
            <c:strRef>
              <c:f>Sheet3!$B$2:$B$14</c:f>
              <c:strCache>
                <c:ptCount val="13"/>
                <c:pt idx="0">
                  <c:v>南京</c:v>
                </c:pt>
                <c:pt idx="1">
                  <c:v>镇江</c:v>
                </c:pt>
                <c:pt idx="2">
                  <c:v>常州</c:v>
                </c:pt>
                <c:pt idx="3">
                  <c:v>无锡</c:v>
                </c:pt>
                <c:pt idx="4">
                  <c:v>苏州</c:v>
                </c:pt>
                <c:pt idx="5">
                  <c:v>南通</c:v>
                </c:pt>
                <c:pt idx="6">
                  <c:v>扬州</c:v>
                </c:pt>
                <c:pt idx="7">
                  <c:v>泰州</c:v>
                </c:pt>
                <c:pt idx="8">
                  <c:v>淮安</c:v>
                </c:pt>
                <c:pt idx="9">
                  <c:v>盐城</c:v>
                </c:pt>
                <c:pt idx="10">
                  <c:v>徐州</c:v>
                </c:pt>
                <c:pt idx="11">
                  <c:v>宿迁</c:v>
                </c:pt>
                <c:pt idx="12">
                  <c:v>连云港</c:v>
                </c:pt>
              </c:strCache>
            </c:strRef>
          </c:cat>
          <c:val>
            <c:numRef>
              <c:f>Sheet3!$F$2:$F$14</c:f>
              <c:numCache>
                <c:formatCode>General</c:formatCode>
                <c:ptCount val="13"/>
                <c:pt idx="0">
                  <c:v>2.84</c:v>
                </c:pt>
                <c:pt idx="1">
                  <c:v>0</c:v>
                </c:pt>
                <c:pt idx="2">
                  <c:v>10</c:v>
                </c:pt>
                <c:pt idx="3">
                  <c:v>9.84</c:v>
                </c:pt>
                <c:pt idx="4">
                  <c:v>12.41</c:v>
                </c:pt>
                <c:pt idx="5">
                  <c:v>8.1</c:v>
                </c:pt>
                <c:pt idx="6">
                  <c:v>-9</c:v>
                </c:pt>
                <c:pt idx="7">
                  <c:v>11</c:v>
                </c:pt>
                <c:pt idx="8">
                  <c:v>11.450000000000006</c:v>
                </c:pt>
                <c:pt idx="9">
                  <c:v>51.92</c:v>
                </c:pt>
                <c:pt idx="10">
                  <c:v>8.120000000000001</c:v>
                </c:pt>
                <c:pt idx="11">
                  <c:v>39.700000000000003</c:v>
                </c:pt>
                <c:pt idx="12">
                  <c:v>62.7</c:v>
                </c:pt>
              </c:numCache>
            </c:numRef>
          </c:val>
        </c:ser>
        <c:marker val="1"/>
        <c:axId val="181492736"/>
        <c:axId val="181491200"/>
      </c:lineChart>
      <c:catAx>
        <c:axId val="181475584"/>
        <c:scaling>
          <c:orientation val="minMax"/>
        </c:scaling>
        <c:axPos val="b"/>
        <c:majorTickMark val="none"/>
        <c:tickLblPos val="nextTo"/>
        <c:crossAx val="181489664"/>
        <c:crosses val="autoZero"/>
        <c:auto val="1"/>
        <c:lblAlgn val="ctr"/>
        <c:lblOffset val="100"/>
      </c:catAx>
      <c:valAx>
        <c:axId val="181489664"/>
        <c:scaling>
          <c:orientation val="minMax"/>
        </c:scaling>
        <c:axPos val="l"/>
        <c:numFmt formatCode="General" sourceLinked="1"/>
        <c:majorTickMark val="none"/>
        <c:tickLblPos val="nextTo"/>
        <c:crossAx val="181475584"/>
        <c:crosses val="autoZero"/>
        <c:crossBetween val="between"/>
      </c:valAx>
      <c:valAx>
        <c:axId val="181491200"/>
        <c:scaling>
          <c:orientation val="minMax"/>
        </c:scaling>
        <c:axPos val="r"/>
        <c:numFmt formatCode="General" sourceLinked="1"/>
        <c:tickLblPos val="nextTo"/>
        <c:crossAx val="181492736"/>
        <c:crosses val="max"/>
        <c:crossBetween val="between"/>
      </c:valAx>
      <c:catAx>
        <c:axId val="181492736"/>
        <c:scaling>
          <c:orientation val="minMax"/>
        </c:scaling>
        <c:delete val="1"/>
        <c:axPos val="b"/>
        <c:tickLblPos val="nextTo"/>
        <c:crossAx val="181491200"/>
        <c:crosses val="autoZero"/>
        <c:auto val="1"/>
        <c:lblAlgn val="ctr"/>
        <c:lblOffset val="100"/>
      </c:catAx>
    </c:plotArea>
    <c:legend>
      <c:legendPos val="b"/>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82D0E-E103-4A00-B5CA-08D04C30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17</Pages>
  <Words>1451</Words>
  <Characters>8277</Characters>
  <Application>Microsoft Office Word</Application>
  <DocSecurity>0</DocSecurity>
  <Lines>68</Lines>
  <Paragraphs>19</Paragraphs>
  <ScaleCrop>false</ScaleCrop>
  <Company>Microsoft</Company>
  <LinksUpToDate>false</LinksUpToDate>
  <CharactersWithSpaces>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2019年江苏省预拌混凝土行业发展蓝皮书</dc:title>
  <dc:creator>Administrator</dc:creator>
  <cp:lastModifiedBy>hp</cp:lastModifiedBy>
  <cp:revision>30</cp:revision>
  <cp:lastPrinted>2022-04-15T02:50:00Z</cp:lastPrinted>
  <dcterms:created xsi:type="dcterms:W3CDTF">2022-04-15T02:50:00Z</dcterms:created>
  <dcterms:modified xsi:type="dcterms:W3CDTF">2022-04-20T02:59:00Z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75E025B9740E4B6A8BA5A85B7B721D39</vt:lpwstr>
  </property>
  <property fmtid="{D5CDD505-2E9C-101B-9397-08002B2CF9AE}" pid="4" name="commondata">
    <vt:lpwstr>eyJoZGlkIjoiZjIyZGIyMjQxOGFhODc2MDZkODRjMGQzMjBiNzVkOWIifQ==</vt:lpwstr>
  </property>
</Properties>
</file>